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F8C" w:rsidRDefault="00986F8C" w:rsidP="00965E7A">
      <w:pPr>
        <w:pStyle w:val="Title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  <w:r w:rsidRPr="00986F8C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5492750</wp:posOffset>
            </wp:positionH>
            <wp:positionV relativeFrom="paragraph">
              <wp:posOffset>-806450</wp:posOffset>
            </wp:positionV>
            <wp:extent cx="777875" cy="965200"/>
            <wp:effectExtent l="19050" t="0" r="3175" b="0"/>
            <wp:wrapSquare wrapText="bothSides"/>
            <wp:docPr id="4" name="Picture 3" descr="cid:image001.png@01CE99A1.76E66C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png@01CE99A1.76E66C80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-613410</wp:posOffset>
            </wp:positionH>
            <wp:positionV relativeFrom="paragraph">
              <wp:posOffset>-762000</wp:posOffset>
            </wp:positionV>
            <wp:extent cx="2907665" cy="952500"/>
            <wp:effectExtent l="19050" t="0" r="6985" b="0"/>
            <wp:wrapSquare wrapText="bothSides"/>
            <wp:docPr id="5" name="Picture 1" descr="C:\Documents and Settings\ce125409\Local Settings\Temporary Internet Files\Content.Outlook\BUTSR6VN\PRIMARY CARE SERVIC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e125409\Local Settings\Temporary Internet Files\Content.Outlook\BUTSR6VN\PRIMARY CARE SERVIC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66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6F8C" w:rsidRDefault="00986F8C" w:rsidP="00965E7A">
      <w:pPr>
        <w:pStyle w:val="Title"/>
        <w:rPr>
          <w:rFonts w:ascii="Arial" w:hAnsi="Arial" w:cs="Arial"/>
          <w:b/>
          <w:sz w:val="28"/>
          <w:szCs w:val="28"/>
          <w:u w:val="single"/>
        </w:rPr>
      </w:pPr>
    </w:p>
    <w:p w:rsidR="00986F8C" w:rsidRPr="00986F8C" w:rsidRDefault="00986F8C" w:rsidP="00986F8C"/>
    <w:p w:rsidR="00986F8C" w:rsidRDefault="00986F8C" w:rsidP="00965E7A">
      <w:pPr>
        <w:pStyle w:val="Title"/>
        <w:rPr>
          <w:rFonts w:ascii="Arial" w:hAnsi="Arial" w:cs="Arial"/>
          <w:b/>
          <w:sz w:val="28"/>
          <w:szCs w:val="28"/>
          <w:u w:val="single"/>
        </w:rPr>
      </w:pPr>
    </w:p>
    <w:p w:rsidR="0057636F" w:rsidRPr="00403F77" w:rsidRDefault="00E61AB5" w:rsidP="00986F8C">
      <w:pPr>
        <w:pStyle w:val="Title"/>
        <w:rPr>
          <w:rFonts w:asciiTheme="minorHAnsi" w:hAnsiTheme="minorHAnsi" w:cs="Arial"/>
          <w:b/>
          <w:sz w:val="24"/>
          <w:szCs w:val="24"/>
          <w:u w:val="single"/>
        </w:rPr>
      </w:pPr>
      <w:r w:rsidRPr="00403F77">
        <w:rPr>
          <w:rFonts w:asciiTheme="minorHAnsi" w:hAnsiTheme="minorHAnsi" w:cs="Arial"/>
          <w:b/>
          <w:sz w:val="24"/>
          <w:szCs w:val="24"/>
          <w:u w:val="single"/>
        </w:rPr>
        <w:t>Inspecting Tint claims during a Post Payment Verification (PPV) visit.</w:t>
      </w:r>
    </w:p>
    <w:p w:rsidR="00986F8C" w:rsidRPr="00403F77" w:rsidRDefault="00986F8C" w:rsidP="00986F8C">
      <w:pPr>
        <w:spacing w:after="0"/>
        <w:rPr>
          <w:rFonts w:cs="Arial"/>
          <w:sz w:val="24"/>
          <w:szCs w:val="24"/>
        </w:rPr>
      </w:pPr>
    </w:p>
    <w:p w:rsidR="00986F8C" w:rsidRPr="00403F77" w:rsidRDefault="00E61AB5" w:rsidP="00D946DB">
      <w:pPr>
        <w:spacing w:after="0"/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Tints are an area where practice</w:t>
      </w:r>
      <w:r w:rsidR="0057636F" w:rsidRPr="00403F77">
        <w:rPr>
          <w:rFonts w:cs="Arial"/>
          <w:sz w:val="24"/>
          <w:szCs w:val="24"/>
        </w:rPr>
        <w:t>s</w:t>
      </w:r>
      <w:r w:rsidRPr="00403F77">
        <w:rPr>
          <w:rFonts w:cs="Arial"/>
          <w:sz w:val="24"/>
          <w:szCs w:val="24"/>
        </w:rPr>
        <w:t xml:space="preserve"> have indicated that they would welcome </w:t>
      </w:r>
      <w:r w:rsidR="00583232" w:rsidRPr="00403F77">
        <w:rPr>
          <w:rFonts w:cs="Arial"/>
          <w:sz w:val="24"/>
          <w:szCs w:val="24"/>
        </w:rPr>
        <w:t>additional</w:t>
      </w:r>
      <w:r w:rsidRPr="00403F77">
        <w:rPr>
          <w:rFonts w:cs="Arial"/>
          <w:sz w:val="24"/>
          <w:szCs w:val="24"/>
        </w:rPr>
        <w:t xml:space="preserve"> guidance. </w:t>
      </w:r>
      <w:r w:rsidR="00583232" w:rsidRPr="00403F77">
        <w:rPr>
          <w:rFonts w:cs="Arial"/>
          <w:sz w:val="24"/>
          <w:szCs w:val="24"/>
        </w:rPr>
        <w:t>Optometry</w:t>
      </w:r>
      <w:r w:rsidRPr="00403F77">
        <w:rPr>
          <w:rFonts w:cs="Arial"/>
          <w:sz w:val="24"/>
          <w:szCs w:val="24"/>
        </w:rPr>
        <w:t xml:space="preserve"> Wales and NHS Wales </w:t>
      </w:r>
      <w:r w:rsidR="00583232" w:rsidRPr="00403F77">
        <w:rPr>
          <w:rFonts w:cs="Arial"/>
          <w:sz w:val="24"/>
          <w:szCs w:val="24"/>
        </w:rPr>
        <w:t>Shared</w:t>
      </w:r>
      <w:r w:rsidRPr="00403F77">
        <w:rPr>
          <w:rFonts w:cs="Arial"/>
          <w:sz w:val="24"/>
          <w:szCs w:val="24"/>
        </w:rPr>
        <w:t xml:space="preserve"> Services</w:t>
      </w:r>
      <w:r w:rsidR="00583232" w:rsidRPr="00403F77">
        <w:rPr>
          <w:rFonts w:cs="Arial"/>
          <w:sz w:val="24"/>
          <w:szCs w:val="24"/>
        </w:rPr>
        <w:t xml:space="preserve"> Partnership</w:t>
      </w:r>
      <w:r w:rsidR="00297A48" w:rsidRPr="00403F77">
        <w:rPr>
          <w:rFonts w:cs="Arial"/>
          <w:sz w:val="24"/>
          <w:szCs w:val="24"/>
        </w:rPr>
        <w:t>, Primary Care Services,</w:t>
      </w:r>
      <w:r w:rsidR="00583232" w:rsidRPr="00403F77">
        <w:rPr>
          <w:rFonts w:cs="Arial"/>
          <w:sz w:val="24"/>
          <w:szCs w:val="24"/>
        </w:rPr>
        <w:t xml:space="preserve"> have worked together</w:t>
      </w:r>
      <w:r w:rsidRPr="00403F77">
        <w:rPr>
          <w:rFonts w:cs="Arial"/>
          <w:sz w:val="24"/>
          <w:szCs w:val="24"/>
        </w:rPr>
        <w:t xml:space="preserve"> to produce the following guidelines to ensure that patients who are entitled </w:t>
      </w:r>
      <w:r w:rsidR="00D4695B" w:rsidRPr="00403F77">
        <w:rPr>
          <w:rFonts w:cs="Arial"/>
          <w:sz w:val="24"/>
          <w:szCs w:val="24"/>
        </w:rPr>
        <w:t xml:space="preserve">to </w:t>
      </w:r>
      <w:r w:rsidRPr="00403F77">
        <w:rPr>
          <w:rFonts w:cs="Arial"/>
          <w:sz w:val="24"/>
          <w:szCs w:val="24"/>
        </w:rPr>
        <w:t xml:space="preserve">a tint supplement are able </w:t>
      </w:r>
      <w:r w:rsidR="00297A48" w:rsidRPr="00403F77">
        <w:rPr>
          <w:rFonts w:cs="Arial"/>
          <w:sz w:val="24"/>
          <w:szCs w:val="24"/>
        </w:rPr>
        <w:t xml:space="preserve">to </w:t>
      </w:r>
      <w:r w:rsidR="00D4695B" w:rsidRPr="00403F77">
        <w:rPr>
          <w:rFonts w:cs="Arial"/>
          <w:sz w:val="24"/>
          <w:szCs w:val="24"/>
        </w:rPr>
        <w:t>access one</w:t>
      </w:r>
      <w:r w:rsidR="00583232" w:rsidRPr="00403F77">
        <w:rPr>
          <w:rFonts w:cs="Arial"/>
          <w:sz w:val="24"/>
          <w:szCs w:val="24"/>
        </w:rPr>
        <w:t>,</w:t>
      </w:r>
      <w:r w:rsidRPr="00403F77">
        <w:rPr>
          <w:rFonts w:cs="Arial"/>
          <w:sz w:val="24"/>
          <w:szCs w:val="24"/>
        </w:rPr>
        <w:t xml:space="preserve"> and to give practices the confidence to prescribe </w:t>
      </w:r>
      <w:r w:rsidR="00583232" w:rsidRPr="00403F77">
        <w:rPr>
          <w:rFonts w:cs="Arial"/>
          <w:sz w:val="24"/>
          <w:szCs w:val="24"/>
        </w:rPr>
        <w:t>tints</w:t>
      </w:r>
      <w:r w:rsidRPr="00403F77">
        <w:rPr>
          <w:rFonts w:cs="Arial"/>
          <w:sz w:val="24"/>
          <w:szCs w:val="24"/>
        </w:rPr>
        <w:t xml:space="preserve"> where clinically </w:t>
      </w:r>
      <w:r w:rsidR="00583232" w:rsidRPr="00403F77">
        <w:rPr>
          <w:rFonts w:cs="Arial"/>
          <w:sz w:val="24"/>
          <w:szCs w:val="24"/>
        </w:rPr>
        <w:t>necessary,</w:t>
      </w:r>
      <w:r w:rsidRPr="00403F77">
        <w:rPr>
          <w:rFonts w:cs="Arial"/>
          <w:sz w:val="24"/>
          <w:szCs w:val="24"/>
        </w:rPr>
        <w:t xml:space="preserve"> secure in the knowledge that they will not be financial</w:t>
      </w:r>
      <w:r w:rsidR="00D946DB">
        <w:rPr>
          <w:rFonts w:cs="Arial"/>
          <w:sz w:val="24"/>
          <w:szCs w:val="24"/>
        </w:rPr>
        <w:t>l</w:t>
      </w:r>
      <w:r w:rsidR="00D4695B" w:rsidRPr="00403F77">
        <w:rPr>
          <w:rFonts w:cs="Arial"/>
          <w:sz w:val="24"/>
          <w:szCs w:val="24"/>
        </w:rPr>
        <w:t>y</w:t>
      </w:r>
      <w:r w:rsidRPr="00403F77">
        <w:rPr>
          <w:rFonts w:cs="Arial"/>
          <w:sz w:val="24"/>
          <w:szCs w:val="24"/>
        </w:rPr>
        <w:t xml:space="preserve"> penalised follo</w:t>
      </w:r>
      <w:r w:rsidR="00986F8C" w:rsidRPr="00403F77">
        <w:rPr>
          <w:rFonts w:cs="Arial"/>
          <w:sz w:val="24"/>
          <w:szCs w:val="24"/>
        </w:rPr>
        <w:t>wing a PPV</w:t>
      </w:r>
      <w:r w:rsidRPr="00403F77">
        <w:rPr>
          <w:rFonts w:cs="Arial"/>
          <w:sz w:val="24"/>
          <w:szCs w:val="24"/>
        </w:rPr>
        <w:t xml:space="preserve"> </w:t>
      </w:r>
      <w:r w:rsidR="00986F8C" w:rsidRPr="00403F77">
        <w:rPr>
          <w:rFonts w:cs="Arial"/>
          <w:sz w:val="24"/>
          <w:szCs w:val="24"/>
        </w:rPr>
        <w:t>visit</w:t>
      </w:r>
      <w:r w:rsidRPr="00403F77">
        <w:rPr>
          <w:rFonts w:cs="Arial"/>
          <w:sz w:val="24"/>
          <w:szCs w:val="24"/>
        </w:rPr>
        <w:t>.</w:t>
      </w:r>
    </w:p>
    <w:p w:rsidR="00986F8C" w:rsidRPr="00403F77" w:rsidRDefault="00986F8C" w:rsidP="00D946DB">
      <w:pPr>
        <w:spacing w:after="0"/>
        <w:jc w:val="both"/>
        <w:rPr>
          <w:rFonts w:cs="Arial"/>
          <w:sz w:val="24"/>
          <w:szCs w:val="24"/>
        </w:rPr>
      </w:pPr>
    </w:p>
    <w:p w:rsidR="00965E7A" w:rsidRPr="00403F77" w:rsidRDefault="00583232" w:rsidP="00D946DB">
      <w:pPr>
        <w:jc w:val="both"/>
        <w:rPr>
          <w:rFonts w:cs="Arial"/>
          <w:b/>
          <w:sz w:val="24"/>
          <w:szCs w:val="24"/>
          <w:u w:val="single"/>
        </w:rPr>
      </w:pPr>
      <w:r w:rsidRPr="00403F77">
        <w:rPr>
          <w:rFonts w:cs="Arial"/>
          <w:b/>
          <w:sz w:val="24"/>
          <w:szCs w:val="24"/>
          <w:u w:val="single"/>
        </w:rPr>
        <w:t>Guidance for Claiming.</w:t>
      </w:r>
    </w:p>
    <w:p w:rsidR="004174C5" w:rsidRPr="00403F77" w:rsidRDefault="00E61AB5" w:rsidP="00D946DB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The patient must be eligible for the NHS Voucher.</w:t>
      </w:r>
    </w:p>
    <w:p w:rsidR="00986F8C" w:rsidRPr="00403F77" w:rsidRDefault="00986F8C" w:rsidP="00D946DB">
      <w:pPr>
        <w:pStyle w:val="ListParagraph"/>
        <w:jc w:val="both"/>
        <w:rPr>
          <w:rFonts w:cs="Arial"/>
          <w:sz w:val="24"/>
          <w:szCs w:val="24"/>
        </w:rPr>
      </w:pPr>
    </w:p>
    <w:p w:rsidR="00986F8C" w:rsidRPr="00403F77" w:rsidRDefault="00E61AB5" w:rsidP="00D946DB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The tint must</w:t>
      </w:r>
      <w:r w:rsidR="00986F8C" w:rsidRPr="00403F77">
        <w:rPr>
          <w:rFonts w:cs="Arial"/>
          <w:sz w:val="24"/>
          <w:szCs w:val="24"/>
        </w:rPr>
        <w:t xml:space="preserve"> be deemed clinically necessary.</w:t>
      </w:r>
    </w:p>
    <w:p w:rsidR="00986F8C" w:rsidRPr="00403F77" w:rsidRDefault="00986F8C" w:rsidP="00D946DB">
      <w:pPr>
        <w:spacing w:after="0"/>
        <w:jc w:val="both"/>
        <w:rPr>
          <w:rFonts w:cs="Arial"/>
          <w:sz w:val="24"/>
          <w:szCs w:val="24"/>
        </w:rPr>
      </w:pPr>
    </w:p>
    <w:p w:rsidR="00965E7A" w:rsidRPr="00403F77" w:rsidRDefault="00E61AB5" w:rsidP="00D946DB">
      <w:pPr>
        <w:pStyle w:val="ListParagraph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There must be evidence of a tint being prescribed</w:t>
      </w:r>
    </w:p>
    <w:p w:rsidR="00965E7A" w:rsidRPr="00403F77" w:rsidRDefault="00E61AB5" w:rsidP="00D946DB">
      <w:pPr>
        <w:pStyle w:val="ListParagraph"/>
        <w:numPr>
          <w:ilvl w:val="1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Note of tint on record card</w:t>
      </w:r>
      <w:r w:rsidR="00986F8C" w:rsidRPr="00403F77">
        <w:rPr>
          <w:rFonts w:cs="Arial"/>
          <w:sz w:val="24"/>
          <w:szCs w:val="24"/>
        </w:rPr>
        <w:t>.</w:t>
      </w:r>
    </w:p>
    <w:p w:rsidR="00986F8C" w:rsidRPr="00403F77" w:rsidRDefault="00986F8C" w:rsidP="00D946DB">
      <w:pPr>
        <w:pStyle w:val="ListParagraph"/>
        <w:ind w:left="1440"/>
        <w:jc w:val="both"/>
        <w:rPr>
          <w:rFonts w:cs="Arial"/>
          <w:sz w:val="24"/>
          <w:szCs w:val="24"/>
        </w:rPr>
      </w:pPr>
    </w:p>
    <w:p w:rsidR="00965E7A" w:rsidRPr="00403F77" w:rsidRDefault="00E61AB5" w:rsidP="00D946DB">
      <w:pPr>
        <w:pStyle w:val="ListParagraph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There must be evidence of a tint being dispensed</w:t>
      </w:r>
    </w:p>
    <w:p w:rsidR="00965E7A" w:rsidRPr="00403F77" w:rsidRDefault="00986F8C" w:rsidP="00D946DB">
      <w:pPr>
        <w:pStyle w:val="ListParagraph"/>
        <w:numPr>
          <w:ilvl w:val="1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Order showing a tint.</w:t>
      </w:r>
    </w:p>
    <w:p w:rsidR="00986F8C" w:rsidRPr="00403F77" w:rsidRDefault="00986F8C" w:rsidP="00D946DB">
      <w:pPr>
        <w:pStyle w:val="ListParagraph"/>
        <w:ind w:left="1440"/>
        <w:jc w:val="both"/>
        <w:rPr>
          <w:rFonts w:cs="Arial"/>
          <w:sz w:val="24"/>
          <w:szCs w:val="24"/>
        </w:rPr>
      </w:pPr>
    </w:p>
    <w:p w:rsidR="0057636F" w:rsidRPr="00403F77" w:rsidRDefault="00E61AB5" w:rsidP="00D946DB">
      <w:pPr>
        <w:pStyle w:val="ListParagraph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At least one lens should have a prescription (ie not plano)</w:t>
      </w:r>
    </w:p>
    <w:p w:rsidR="004174C5" w:rsidRPr="00403F77" w:rsidRDefault="00E61AB5" w:rsidP="00D946DB">
      <w:pPr>
        <w:pStyle w:val="ListParagraph"/>
        <w:numPr>
          <w:ilvl w:val="1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Like prisms, tints are a supplement to the voucher and as such cannot be prescribed on plano lenses.</w:t>
      </w:r>
    </w:p>
    <w:p w:rsidR="00986F8C" w:rsidRPr="00403F77" w:rsidRDefault="00986F8C" w:rsidP="00D946DB">
      <w:pPr>
        <w:pStyle w:val="ListParagraph"/>
        <w:ind w:left="1440"/>
        <w:jc w:val="both"/>
        <w:rPr>
          <w:rFonts w:cs="Arial"/>
          <w:sz w:val="24"/>
          <w:szCs w:val="24"/>
        </w:rPr>
      </w:pPr>
    </w:p>
    <w:p w:rsidR="00F27C85" w:rsidRPr="00403F77" w:rsidRDefault="00E61AB5" w:rsidP="00D946DB">
      <w:pPr>
        <w:pStyle w:val="ListParagraph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Anti-Reflection coatings and UV coatings do not count as a tint for the purposes of claiming a supplement.</w:t>
      </w:r>
    </w:p>
    <w:p w:rsidR="00F27C85" w:rsidRPr="00403F77" w:rsidRDefault="00F27C85" w:rsidP="00D946DB">
      <w:pPr>
        <w:pStyle w:val="ListParagraph"/>
        <w:jc w:val="both"/>
        <w:rPr>
          <w:rFonts w:cs="Arial"/>
          <w:sz w:val="24"/>
          <w:szCs w:val="24"/>
        </w:rPr>
      </w:pPr>
    </w:p>
    <w:p w:rsidR="00F27C85" w:rsidRPr="00403F77" w:rsidRDefault="00F27C85" w:rsidP="00D946DB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Tints must not be provided based on the patient’s pre</w:t>
      </w:r>
      <w:r w:rsidR="00780CB1" w:rsidRPr="00403F77">
        <w:rPr>
          <w:rFonts w:cs="Arial"/>
          <w:sz w:val="24"/>
          <w:szCs w:val="24"/>
        </w:rPr>
        <w:t>vious prescription reading. H</w:t>
      </w:r>
      <w:r w:rsidRPr="00403F77">
        <w:rPr>
          <w:rFonts w:cs="Arial"/>
          <w:sz w:val="24"/>
          <w:szCs w:val="24"/>
        </w:rPr>
        <w:t>istorical prescription information cannot be relied upon.</w:t>
      </w:r>
    </w:p>
    <w:p w:rsidR="00F27C85" w:rsidRPr="00403F77" w:rsidRDefault="00F27C85" w:rsidP="00D946DB">
      <w:pPr>
        <w:spacing w:after="0"/>
        <w:jc w:val="both"/>
        <w:rPr>
          <w:rFonts w:cs="Arial"/>
          <w:sz w:val="24"/>
          <w:szCs w:val="24"/>
        </w:rPr>
      </w:pPr>
    </w:p>
    <w:p w:rsidR="00965E7A" w:rsidRPr="00403F77" w:rsidRDefault="00E61AB5" w:rsidP="00D946DB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 xml:space="preserve">There needs to be a clinical need identified for the tint. This can include symptoms </w:t>
      </w:r>
      <w:r w:rsidRPr="00403F77">
        <w:rPr>
          <w:rFonts w:cs="Arial"/>
          <w:b/>
          <w:i/>
          <w:sz w:val="24"/>
          <w:szCs w:val="24"/>
          <w:u w:val="single"/>
        </w:rPr>
        <w:t>or</w:t>
      </w:r>
      <w:r w:rsidRPr="00403F77">
        <w:rPr>
          <w:rFonts w:cs="Arial"/>
          <w:sz w:val="24"/>
          <w:szCs w:val="24"/>
        </w:rPr>
        <w:t xml:space="preserve"> signs and therefore any of the following would satisfy this requirement:</w:t>
      </w:r>
    </w:p>
    <w:p w:rsidR="00F27C85" w:rsidRPr="00403F77" w:rsidRDefault="00F27C85" w:rsidP="00D946DB">
      <w:pPr>
        <w:spacing w:after="0"/>
        <w:jc w:val="both"/>
        <w:rPr>
          <w:rFonts w:cs="Arial"/>
          <w:sz w:val="24"/>
          <w:szCs w:val="24"/>
        </w:rPr>
      </w:pPr>
    </w:p>
    <w:p w:rsidR="00965E7A" w:rsidRPr="00403F77" w:rsidRDefault="00E61AB5" w:rsidP="00D946DB">
      <w:pPr>
        <w:pStyle w:val="ListParagraph"/>
        <w:numPr>
          <w:ilvl w:val="1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Symptoms:</w:t>
      </w:r>
    </w:p>
    <w:p w:rsidR="00965E7A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Photophobia</w:t>
      </w:r>
      <w:r w:rsidR="00F27C85" w:rsidRPr="00403F77">
        <w:rPr>
          <w:rFonts w:cs="Arial"/>
          <w:sz w:val="24"/>
          <w:szCs w:val="24"/>
        </w:rPr>
        <w:t>;</w:t>
      </w:r>
    </w:p>
    <w:p w:rsidR="00965E7A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Glare</w:t>
      </w:r>
      <w:r w:rsidR="00F27C85" w:rsidRPr="00403F77">
        <w:rPr>
          <w:rFonts w:cs="Arial"/>
          <w:sz w:val="24"/>
          <w:szCs w:val="24"/>
        </w:rPr>
        <w:t>;</w:t>
      </w:r>
    </w:p>
    <w:p w:rsidR="00F27C85" w:rsidRPr="00D946DB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Any other narrative of how light affects the patient adversely or an abnormal response to light</w:t>
      </w:r>
      <w:r w:rsidR="00D946DB">
        <w:rPr>
          <w:rFonts w:cs="Arial"/>
          <w:sz w:val="24"/>
          <w:szCs w:val="24"/>
        </w:rPr>
        <w:t>.</w:t>
      </w:r>
    </w:p>
    <w:p w:rsidR="00F27C85" w:rsidRPr="00403F77" w:rsidRDefault="00F27C85" w:rsidP="00D946DB">
      <w:pPr>
        <w:jc w:val="both"/>
        <w:rPr>
          <w:rFonts w:cs="Arial"/>
          <w:sz w:val="24"/>
          <w:szCs w:val="24"/>
        </w:rPr>
      </w:pPr>
    </w:p>
    <w:p w:rsidR="00965E7A" w:rsidRPr="00403F77" w:rsidRDefault="00E61AB5" w:rsidP="00D946DB">
      <w:pPr>
        <w:pStyle w:val="ListParagraph"/>
        <w:numPr>
          <w:ilvl w:val="1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Signs</w:t>
      </w:r>
      <w:r w:rsidR="00F27C85" w:rsidRPr="00403F77">
        <w:rPr>
          <w:rFonts w:cs="Arial"/>
          <w:sz w:val="24"/>
          <w:szCs w:val="24"/>
        </w:rPr>
        <w:t>:</w:t>
      </w:r>
    </w:p>
    <w:p w:rsidR="00965E7A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Medications</w:t>
      </w:r>
      <w:r w:rsidR="00F27C85" w:rsidRPr="00403F77">
        <w:rPr>
          <w:rFonts w:cs="Arial"/>
          <w:sz w:val="24"/>
          <w:szCs w:val="24"/>
        </w:rPr>
        <w:t>;</w:t>
      </w:r>
    </w:p>
    <w:p w:rsidR="00965E7A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(Drugs such as amphetamines, atropine, idoxuridine, phenylephrine, scopolamine, trifluridine, tropicamide, and vidarabine)</w:t>
      </w:r>
      <w:r w:rsidR="00F27C85" w:rsidRPr="00403F77">
        <w:rPr>
          <w:rFonts w:cs="Arial"/>
          <w:sz w:val="24"/>
          <w:szCs w:val="24"/>
        </w:rPr>
        <w:t>;</w:t>
      </w:r>
    </w:p>
    <w:p w:rsidR="00965E7A" w:rsidRPr="00403F77" w:rsidRDefault="00F27C8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Aniridia;</w:t>
      </w:r>
    </w:p>
    <w:p w:rsidR="00965E7A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Fixed dilated pupil(s)</w:t>
      </w:r>
      <w:r w:rsidR="00F27C85" w:rsidRPr="00403F77">
        <w:rPr>
          <w:rFonts w:cs="Arial"/>
          <w:sz w:val="24"/>
          <w:szCs w:val="24"/>
        </w:rPr>
        <w:t>;</w:t>
      </w:r>
    </w:p>
    <w:p w:rsidR="00965E7A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Anisocoria</w:t>
      </w:r>
      <w:r w:rsidR="00F27C85" w:rsidRPr="00403F77">
        <w:rPr>
          <w:rFonts w:cs="Arial"/>
          <w:sz w:val="24"/>
          <w:szCs w:val="24"/>
        </w:rPr>
        <w:t>;</w:t>
      </w:r>
    </w:p>
    <w:p w:rsidR="00965E7A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Iridectomy</w:t>
      </w:r>
      <w:r w:rsidR="00F27C85" w:rsidRPr="00403F77">
        <w:rPr>
          <w:rFonts w:cs="Arial"/>
          <w:sz w:val="24"/>
          <w:szCs w:val="24"/>
        </w:rPr>
        <w:t>;</w:t>
      </w:r>
    </w:p>
    <w:p w:rsidR="00965E7A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Iris Pigment dispersion</w:t>
      </w:r>
      <w:r w:rsidR="00F27C85" w:rsidRPr="00403F77">
        <w:rPr>
          <w:rFonts w:cs="Arial"/>
          <w:sz w:val="24"/>
          <w:szCs w:val="24"/>
        </w:rPr>
        <w:t>;</w:t>
      </w:r>
    </w:p>
    <w:p w:rsidR="00965E7A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Albinism</w:t>
      </w:r>
      <w:r w:rsidR="00F27C85" w:rsidRPr="00403F77">
        <w:rPr>
          <w:rFonts w:cs="Arial"/>
          <w:sz w:val="24"/>
          <w:szCs w:val="24"/>
        </w:rPr>
        <w:t>;</w:t>
      </w:r>
    </w:p>
    <w:p w:rsidR="00965E7A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Endothelial damage</w:t>
      </w:r>
      <w:r w:rsidR="00F27C85" w:rsidRPr="00403F77">
        <w:rPr>
          <w:rFonts w:cs="Arial"/>
          <w:sz w:val="24"/>
          <w:szCs w:val="24"/>
        </w:rPr>
        <w:t>;</w:t>
      </w:r>
    </w:p>
    <w:p w:rsidR="00965E7A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ARMD impacting acuity and visual recovery time</w:t>
      </w:r>
      <w:r w:rsidR="00F27C85" w:rsidRPr="00403F77">
        <w:rPr>
          <w:rFonts w:cs="Arial"/>
          <w:sz w:val="24"/>
          <w:szCs w:val="24"/>
        </w:rPr>
        <w:t>;</w:t>
      </w:r>
    </w:p>
    <w:p w:rsidR="00965E7A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Central Sub-capsular opacities in the lens</w:t>
      </w:r>
      <w:r w:rsidR="00F27C85" w:rsidRPr="00403F77">
        <w:rPr>
          <w:rFonts w:cs="Arial"/>
          <w:sz w:val="24"/>
          <w:szCs w:val="24"/>
        </w:rPr>
        <w:t>;</w:t>
      </w:r>
    </w:p>
    <w:p w:rsidR="00986F8C" w:rsidRPr="00403F77" w:rsidRDefault="00E61AB5" w:rsidP="00D946DB">
      <w:pPr>
        <w:pStyle w:val="ListParagraph"/>
        <w:numPr>
          <w:ilvl w:val="2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Xeroderma pigmentosum</w:t>
      </w:r>
      <w:r w:rsidR="00F27C85" w:rsidRPr="00403F77">
        <w:rPr>
          <w:rFonts w:cs="Arial"/>
          <w:sz w:val="24"/>
          <w:szCs w:val="24"/>
        </w:rPr>
        <w:t>.</w:t>
      </w:r>
    </w:p>
    <w:p w:rsidR="00986F8C" w:rsidRPr="00403F77" w:rsidRDefault="00986F8C" w:rsidP="00D946DB">
      <w:pPr>
        <w:pStyle w:val="ListParagraph"/>
        <w:ind w:left="2160"/>
        <w:jc w:val="both"/>
        <w:rPr>
          <w:rFonts w:cs="Arial"/>
          <w:sz w:val="24"/>
          <w:szCs w:val="24"/>
        </w:rPr>
      </w:pPr>
    </w:p>
    <w:p w:rsidR="00986F8C" w:rsidRPr="00403F77" w:rsidRDefault="00E61AB5" w:rsidP="00D946DB">
      <w:pPr>
        <w:pStyle w:val="ListParagraph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 xml:space="preserve">The above lists are not exhaustive. </w:t>
      </w:r>
      <w:r w:rsidR="00F27C85" w:rsidRPr="00403F77">
        <w:rPr>
          <w:rFonts w:cs="Arial"/>
          <w:sz w:val="24"/>
          <w:szCs w:val="24"/>
        </w:rPr>
        <w:t>However please note</w:t>
      </w:r>
      <w:r w:rsidR="00986F8C" w:rsidRPr="00403F77">
        <w:rPr>
          <w:rFonts w:cs="Arial"/>
          <w:sz w:val="24"/>
          <w:szCs w:val="24"/>
        </w:rPr>
        <w:t>,</w:t>
      </w:r>
    </w:p>
    <w:p w:rsidR="00986F8C" w:rsidRPr="00403F77" w:rsidRDefault="00583232" w:rsidP="00D946DB">
      <w:pPr>
        <w:pStyle w:val="ListParagraph"/>
        <w:numPr>
          <w:ilvl w:val="1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if</w:t>
      </w:r>
      <w:r w:rsidR="00E61AB5" w:rsidRPr="00403F77">
        <w:rPr>
          <w:rFonts w:cs="Arial"/>
          <w:sz w:val="24"/>
          <w:szCs w:val="24"/>
        </w:rPr>
        <w:t xml:space="preserve"> no clinical reason is obvious on the record card,</w:t>
      </w:r>
      <w:r w:rsidRPr="00403F77">
        <w:rPr>
          <w:rFonts w:cs="Arial"/>
          <w:sz w:val="24"/>
          <w:szCs w:val="24"/>
        </w:rPr>
        <w:t xml:space="preserve"> the PPV team will ask</w:t>
      </w:r>
      <w:r w:rsidR="00E61AB5" w:rsidRPr="00403F77">
        <w:rPr>
          <w:rFonts w:cs="Arial"/>
          <w:sz w:val="24"/>
          <w:szCs w:val="24"/>
        </w:rPr>
        <w:t xml:space="preserve"> the optometrist in the practice if they can identify the clinica</w:t>
      </w:r>
      <w:r w:rsidR="00986F8C" w:rsidRPr="00403F77">
        <w:rPr>
          <w:rFonts w:cs="Arial"/>
          <w:sz w:val="24"/>
          <w:szCs w:val="24"/>
        </w:rPr>
        <w:t>l reason for the tint from the</w:t>
      </w:r>
      <w:r w:rsidR="00E61AB5" w:rsidRPr="00403F77">
        <w:rPr>
          <w:rFonts w:cs="Arial"/>
          <w:sz w:val="24"/>
          <w:szCs w:val="24"/>
        </w:rPr>
        <w:t xml:space="preserve"> record</w:t>
      </w:r>
      <w:r w:rsidR="00986F8C" w:rsidRPr="00403F77">
        <w:rPr>
          <w:rFonts w:cs="Arial"/>
          <w:sz w:val="24"/>
          <w:szCs w:val="24"/>
        </w:rPr>
        <w:t xml:space="preserve"> card</w:t>
      </w:r>
      <w:r w:rsidR="00E61AB5" w:rsidRPr="00403F77">
        <w:rPr>
          <w:rFonts w:cs="Arial"/>
          <w:sz w:val="24"/>
          <w:szCs w:val="24"/>
        </w:rPr>
        <w:t>. If they cannot</w:t>
      </w:r>
      <w:r w:rsidRPr="00403F77">
        <w:rPr>
          <w:rFonts w:cs="Arial"/>
          <w:sz w:val="24"/>
          <w:szCs w:val="24"/>
        </w:rPr>
        <w:t xml:space="preserve"> demonstrate that the clinical reason has been evidenced within the patient record card then</w:t>
      </w:r>
      <w:r w:rsidR="00E61AB5" w:rsidRPr="00403F77">
        <w:rPr>
          <w:rFonts w:cs="Arial"/>
          <w:sz w:val="24"/>
          <w:szCs w:val="24"/>
        </w:rPr>
        <w:t xml:space="preserve"> the claim is invalid</w:t>
      </w:r>
      <w:r w:rsidRPr="00403F77">
        <w:rPr>
          <w:rFonts w:cs="Arial"/>
          <w:sz w:val="24"/>
          <w:szCs w:val="24"/>
        </w:rPr>
        <w:t>.</w:t>
      </w:r>
      <w:r w:rsidR="00986F8C" w:rsidRPr="00403F77">
        <w:rPr>
          <w:rFonts w:cs="Arial"/>
          <w:sz w:val="24"/>
          <w:szCs w:val="24"/>
        </w:rPr>
        <w:t xml:space="preserve"> </w:t>
      </w:r>
      <w:r w:rsidR="00EF436A" w:rsidRPr="00403F77">
        <w:rPr>
          <w:rFonts w:cs="Arial"/>
          <w:sz w:val="24"/>
          <w:szCs w:val="24"/>
        </w:rPr>
        <w:t>Notes within the clinical record card stating “tint is clinically necessary” will not be acceptable in order to validate the claim.</w:t>
      </w:r>
    </w:p>
    <w:p w:rsidR="00EF436A" w:rsidRPr="00403F77" w:rsidRDefault="00EF436A" w:rsidP="00D946DB">
      <w:pPr>
        <w:pStyle w:val="ListParagraph"/>
        <w:ind w:left="1440"/>
        <w:jc w:val="both"/>
        <w:rPr>
          <w:rFonts w:cs="Arial"/>
          <w:sz w:val="24"/>
          <w:szCs w:val="24"/>
        </w:rPr>
      </w:pPr>
    </w:p>
    <w:p w:rsidR="00583232" w:rsidRPr="00403F77" w:rsidRDefault="00986F8C" w:rsidP="00D946DB">
      <w:pPr>
        <w:pStyle w:val="ListParagraph"/>
        <w:numPr>
          <w:ilvl w:val="1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I</w:t>
      </w:r>
      <w:r w:rsidR="00E61AB5" w:rsidRPr="00403F77">
        <w:rPr>
          <w:rFonts w:cs="Arial"/>
          <w:sz w:val="24"/>
          <w:szCs w:val="24"/>
        </w:rPr>
        <w:t>f the</w:t>
      </w:r>
      <w:r w:rsidR="00583232" w:rsidRPr="00403F77">
        <w:rPr>
          <w:rFonts w:cs="Arial"/>
          <w:sz w:val="24"/>
          <w:szCs w:val="24"/>
        </w:rPr>
        <w:t xml:space="preserve"> contractor</w:t>
      </w:r>
      <w:r w:rsidR="00E61AB5" w:rsidRPr="00403F77">
        <w:rPr>
          <w:rFonts w:cs="Arial"/>
          <w:sz w:val="24"/>
          <w:szCs w:val="24"/>
        </w:rPr>
        <w:t xml:space="preserve"> identif</w:t>
      </w:r>
      <w:r w:rsidR="00583232" w:rsidRPr="00403F77">
        <w:rPr>
          <w:rFonts w:cs="Arial"/>
          <w:sz w:val="24"/>
          <w:szCs w:val="24"/>
        </w:rPr>
        <w:t>ies</w:t>
      </w:r>
      <w:r w:rsidR="00E61AB5" w:rsidRPr="00403F77">
        <w:rPr>
          <w:rFonts w:cs="Arial"/>
          <w:sz w:val="24"/>
          <w:szCs w:val="24"/>
        </w:rPr>
        <w:t xml:space="preserve"> a clinical reason that they are satisfied with</w:t>
      </w:r>
      <w:r w:rsidR="00583232" w:rsidRPr="00403F77">
        <w:rPr>
          <w:rFonts w:cs="Arial"/>
          <w:sz w:val="24"/>
          <w:szCs w:val="24"/>
        </w:rPr>
        <w:t xml:space="preserve"> and this is evidenced on the record card</w:t>
      </w:r>
      <w:r w:rsidR="00E61AB5" w:rsidRPr="00403F77">
        <w:rPr>
          <w:rFonts w:cs="Arial"/>
          <w:sz w:val="24"/>
          <w:szCs w:val="24"/>
        </w:rPr>
        <w:t>, then the claim is valid</w:t>
      </w:r>
      <w:r w:rsidR="00583232" w:rsidRPr="00403F77">
        <w:rPr>
          <w:rFonts w:cs="Arial"/>
          <w:sz w:val="24"/>
          <w:szCs w:val="24"/>
        </w:rPr>
        <w:t>.</w:t>
      </w:r>
    </w:p>
    <w:p w:rsidR="00986F8C" w:rsidRPr="00403F77" w:rsidRDefault="00986F8C" w:rsidP="00D946DB">
      <w:pPr>
        <w:pStyle w:val="ListParagraph"/>
        <w:ind w:left="1440"/>
        <w:jc w:val="both"/>
        <w:rPr>
          <w:rFonts w:cs="Arial"/>
          <w:sz w:val="24"/>
          <w:szCs w:val="24"/>
        </w:rPr>
      </w:pPr>
    </w:p>
    <w:p w:rsidR="00965E7A" w:rsidRPr="00403F77" w:rsidRDefault="00583232" w:rsidP="00D946DB">
      <w:pPr>
        <w:pStyle w:val="ListParagraph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It is best practice to ensure where possible</w:t>
      </w:r>
      <w:r w:rsidR="00986F8C" w:rsidRPr="00403F77">
        <w:rPr>
          <w:rFonts w:cs="Arial"/>
          <w:sz w:val="24"/>
          <w:szCs w:val="24"/>
        </w:rPr>
        <w:t xml:space="preserve"> that record cards</w:t>
      </w:r>
      <w:r w:rsidRPr="00403F77">
        <w:rPr>
          <w:rFonts w:cs="Arial"/>
          <w:sz w:val="24"/>
          <w:szCs w:val="24"/>
        </w:rPr>
        <w:t xml:space="preserve"> clearly evidence the symptom </w:t>
      </w:r>
      <w:r w:rsidRPr="00403F77">
        <w:rPr>
          <w:rFonts w:cs="Arial"/>
          <w:b/>
          <w:sz w:val="24"/>
          <w:szCs w:val="24"/>
          <w:u w:val="single"/>
        </w:rPr>
        <w:t>and</w:t>
      </w:r>
      <w:r w:rsidRPr="00403F77">
        <w:rPr>
          <w:rFonts w:cs="Arial"/>
          <w:sz w:val="24"/>
          <w:szCs w:val="24"/>
        </w:rPr>
        <w:t xml:space="preserve"> the underlying clinical cause of these symptoms.</w:t>
      </w:r>
    </w:p>
    <w:p w:rsidR="00986F8C" w:rsidRPr="00403F77" w:rsidRDefault="00986F8C" w:rsidP="00D946DB">
      <w:pPr>
        <w:pStyle w:val="ListParagraph"/>
        <w:jc w:val="both"/>
        <w:rPr>
          <w:rFonts w:cs="Arial"/>
          <w:sz w:val="24"/>
          <w:szCs w:val="24"/>
        </w:rPr>
      </w:pPr>
    </w:p>
    <w:p w:rsidR="00583232" w:rsidRPr="00403F77" w:rsidRDefault="00583232" w:rsidP="00D946DB">
      <w:pPr>
        <w:pStyle w:val="ListParagraph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403F77">
        <w:rPr>
          <w:rFonts w:cs="Arial"/>
          <w:sz w:val="24"/>
          <w:szCs w:val="24"/>
        </w:rPr>
        <w:t>Provided you as an optometrist c</w:t>
      </w:r>
      <w:r w:rsidR="00986F8C" w:rsidRPr="00403F77">
        <w:rPr>
          <w:rFonts w:cs="Arial"/>
          <w:sz w:val="24"/>
          <w:szCs w:val="24"/>
        </w:rPr>
        <w:t>an identify on your record cards</w:t>
      </w:r>
      <w:r w:rsidRPr="00403F77">
        <w:rPr>
          <w:rFonts w:cs="Arial"/>
          <w:sz w:val="24"/>
          <w:szCs w:val="24"/>
        </w:rPr>
        <w:t xml:space="preserve"> a clinical reason for a tint, the validity of this clinical reason should not be questioned by the PPV team.</w:t>
      </w:r>
    </w:p>
    <w:p w:rsidR="00965E7A" w:rsidRPr="00403F77" w:rsidRDefault="00965E7A" w:rsidP="00D946DB">
      <w:pPr>
        <w:jc w:val="both"/>
        <w:rPr>
          <w:rFonts w:cs="Arial"/>
          <w:sz w:val="24"/>
          <w:szCs w:val="24"/>
        </w:rPr>
      </w:pPr>
    </w:p>
    <w:sectPr w:rsidR="00965E7A" w:rsidRPr="00403F77" w:rsidSect="00A213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2247C"/>
    <w:multiLevelType w:val="hybridMultilevel"/>
    <w:tmpl w:val="43FA1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E7A"/>
    <w:rsid w:val="00297A48"/>
    <w:rsid w:val="002C57A8"/>
    <w:rsid w:val="0035088A"/>
    <w:rsid w:val="003A4E10"/>
    <w:rsid w:val="003F1541"/>
    <w:rsid w:val="00403F77"/>
    <w:rsid w:val="004174C5"/>
    <w:rsid w:val="0057636F"/>
    <w:rsid w:val="00583232"/>
    <w:rsid w:val="0072575A"/>
    <w:rsid w:val="00780CB1"/>
    <w:rsid w:val="008C4EF0"/>
    <w:rsid w:val="00937316"/>
    <w:rsid w:val="00965E7A"/>
    <w:rsid w:val="00986F8C"/>
    <w:rsid w:val="00A21305"/>
    <w:rsid w:val="00B247D0"/>
    <w:rsid w:val="00D4695B"/>
    <w:rsid w:val="00D946DB"/>
    <w:rsid w:val="00E61AB5"/>
    <w:rsid w:val="00EB3046"/>
    <w:rsid w:val="00EF436A"/>
    <w:rsid w:val="00F27C85"/>
    <w:rsid w:val="00FB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14B67D-3F77-4CDD-B5C5-25960498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65E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65E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6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2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CE99A1.76E66C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riley</dc:creator>
  <cp:lastModifiedBy>Nathan Williams</cp:lastModifiedBy>
  <cp:revision>2</cp:revision>
  <cp:lastPrinted>2017-07-12T12:30:00Z</cp:lastPrinted>
  <dcterms:created xsi:type="dcterms:W3CDTF">2020-02-21T12:24:00Z</dcterms:created>
  <dcterms:modified xsi:type="dcterms:W3CDTF">2020-02-21T12:24:00Z</dcterms:modified>
</cp:coreProperties>
</file>