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6F8C" w:rsidRDefault="00986F8C" w:rsidP="00965E7A">
      <w:pPr>
        <w:pStyle w:val="Title"/>
        <w:rPr>
          <w:rFonts w:ascii="Arial" w:hAnsi="Arial" w:cs="Arial"/>
          <w:b/>
          <w:sz w:val="28"/>
          <w:szCs w:val="28"/>
          <w:u w:val="single"/>
        </w:rPr>
      </w:pPr>
      <w:bookmarkStart w:id="0" w:name="_GoBack"/>
      <w:bookmarkEnd w:id="0"/>
      <w:r w:rsidRPr="00986F8C">
        <w:rPr>
          <w:rFonts w:ascii="Arial" w:hAnsi="Arial" w:cs="Arial"/>
          <w:b/>
          <w:noProof/>
          <w:sz w:val="28"/>
          <w:szCs w:val="28"/>
          <w:u w:val="single"/>
          <w:lang w:eastAsia="en-GB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5492750</wp:posOffset>
            </wp:positionH>
            <wp:positionV relativeFrom="paragraph">
              <wp:posOffset>-806450</wp:posOffset>
            </wp:positionV>
            <wp:extent cx="777875" cy="965200"/>
            <wp:effectExtent l="19050" t="0" r="3175" b="0"/>
            <wp:wrapSquare wrapText="bothSides"/>
            <wp:docPr id="4" name="Picture 3" descr="cid:image001.png@01CE99A1.76E66C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id:image001.png@01CE99A1.76E66C80"/>
                    <pic:cNvPicPr>
                      <a:picLocks noChangeAspect="1" noChangeArrowheads="1"/>
                    </pic:cNvPicPr>
                  </pic:nvPicPr>
                  <pic:blipFill>
                    <a:blip r:embed="rId5" r:link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875" cy="965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b/>
          <w:noProof/>
          <w:sz w:val="28"/>
          <w:szCs w:val="28"/>
          <w:u w:val="single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-613410</wp:posOffset>
            </wp:positionH>
            <wp:positionV relativeFrom="paragraph">
              <wp:posOffset>-762000</wp:posOffset>
            </wp:positionV>
            <wp:extent cx="2907665" cy="952500"/>
            <wp:effectExtent l="19050" t="0" r="6985" b="0"/>
            <wp:wrapSquare wrapText="bothSides"/>
            <wp:docPr id="5" name="Picture 1" descr="C:\Documents and Settings\ce125409\Local Settings\Temporary Internet Files\Content.Outlook\BUTSR6VN\PRIMARY CARE SERVIC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ce125409\Local Settings\Temporary Internet Files\Content.Outlook\BUTSR6VN\PRIMARY CARE SERVICES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7665" cy="952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986F8C" w:rsidRDefault="00986F8C" w:rsidP="00965E7A">
      <w:pPr>
        <w:pStyle w:val="Title"/>
        <w:rPr>
          <w:rFonts w:ascii="Arial" w:hAnsi="Arial" w:cs="Arial"/>
          <w:b/>
          <w:sz w:val="28"/>
          <w:szCs w:val="28"/>
          <w:u w:val="single"/>
        </w:rPr>
      </w:pPr>
    </w:p>
    <w:p w:rsidR="00986F8C" w:rsidRPr="00986F8C" w:rsidRDefault="00986F8C" w:rsidP="00986F8C"/>
    <w:p w:rsidR="00986F8C" w:rsidRDefault="00986F8C" w:rsidP="00965E7A">
      <w:pPr>
        <w:pStyle w:val="Title"/>
        <w:rPr>
          <w:rFonts w:ascii="Arial" w:hAnsi="Arial" w:cs="Arial"/>
          <w:b/>
          <w:sz w:val="28"/>
          <w:szCs w:val="28"/>
          <w:u w:val="single"/>
        </w:rPr>
      </w:pPr>
    </w:p>
    <w:p w:rsidR="0057636F" w:rsidRPr="00403F77" w:rsidRDefault="00E61AB5" w:rsidP="00986F8C">
      <w:pPr>
        <w:pStyle w:val="Title"/>
        <w:rPr>
          <w:rFonts w:asciiTheme="minorHAnsi" w:hAnsiTheme="minorHAnsi" w:cs="Arial"/>
          <w:b/>
          <w:sz w:val="24"/>
          <w:szCs w:val="24"/>
          <w:u w:val="single"/>
        </w:rPr>
      </w:pPr>
      <w:r w:rsidRPr="00403F77">
        <w:rPr>
          <w:rFonts w:asciiTheme="minorHAnsi" w:hAnsiTheme="minorHAnsi" w:cs="Arial"/>
          <w:b/>
          <w:sz w:val="24"/>
          <w:szCs w:val="24"/>
          <w:u w:val="single"/>
        </w:rPr>
        <w:t>Inspecting Tint claims during a Post Payment Verification (PPV) visit.</w:t>
      </w:r>
    </w:p>
    <w:p w:rsidR="00986F8C" w:rsidRPr="00403F77" w:rsidRDefault="00986F8C" w:rsidP="00986F8C">
      <w:pPr>
        <w:spacing w:after="0"/>
        <w:rPr>
          <w:rFonts w:cs="Arial"/>
          <w:sz w:val="24"/>
          <w:szCs w:val="24"/>
        </w:rPr>
      </w:pPr>
    </w:p>
    <w:p w:rsidR="00986F8C" w:rsidRPr="00403F77" w:rsidRDefault="00E61AB5" w:rsidP="00D946DB">
      <w:pPr>
        <w:spacing w:after="0"/>
        <w:jc w:val="both"/>
        <w:rPr>
          <w:rFonts w:cs="Arial"/>
          <w:sz w:val="24"/>
          <w:szCs w:val="24"/>
        </w:rPr>
      </w:pPr>
      <w:r w:rsidRPr="00403F77">
        <w:rPr>
          <w:rFonts w:cs="Arial"/>
          <w:sz w:val="24"/>
          <w:szCs w:val="24"/>
        </w:rPr>
        <w:t>Tints are an area where practice</w:t>
      </w:r>
      <w:r w:rsidR="0057636F" w:rsidRPr="00403F77">
        <w:rPr>
          <w:rFonts w:cs="Arial"/>
          <w:sz w:val="24"/>
          <w:szCs w:val="24"/>
        </w:rPr>
        <w:t>s</w:t>
      </w:r>
      <w:r w:rsidRPr="00403F77">
        <w:rPr>
          <w:rFonts w:cs="Arial"/>
          <w:sz w:val="24"/>
          <w:szCs w:val="24"/>
        </w:rPr>
        <w:t xml:space="preserve"> have indicated that they would welcome </w:t>
      </w:r>
      <w:r w:rsidR="00583232" w:rsidRPr="00403F77">
        <w:rPr>
          <w:rFonts w:cs="Arial"/>
          <w:sz w:val="24"/>
          <w:szCs w:val="24"/>
        </w:rPr>
        <w:t>additional</w:t>
      </w:r>
      <w:r w:rsidRPr="00403F77">
        <w:rPr>
          <w:rFonts w:cs="Arial"/>
          <w:sz w:val="24"/>
          <w:szCs w:val="24"/>
        </w:rPr>
        <w:t xml:space="preserve"> guidance. </w:t>
      </w:r>
      <w:r w:rsidR="00583232" w:rsidRPr="00403F77">
        <w:rPr>
          <w:rFonts w:cs="Arial"/>
          <w:sz w:val="24"/>
          <w:szCs w:val="24"/>
        </w:rPr>
        <w:t>Optometry</w:t>
      </w:r>
      <w:r w:rsidRPr="00403F77">
        <w:rPr>
          <w:rFonts w:cs="Arial"/>
          <w:sz w:val="24"/>
          <w:szCs w:val="24"/>
        </w:rPr>
        <w:t xml:space="preserve"> Wales and NHS Wales </w:t>
      </w:r>
      <w:r w:rsidR="00583232" w:rsidRPr="00403F77">
        <w:rPr>
          <w:rFonts w:cs="Arial"/>
          <w:sz w:val="24"/>
          <w:szCs w:val="24"/>
        </w:rPr>
        <w:t>Shared</w:t>
      </w:r>
      <w:r w:rsidRPr="00403F77">
        <w:rPr>
          <w:rFonts w:cs="Arial"/>
          <w:sz w:val="24"/>
          <w:szCs w:val="24"/>
        </w:rPr>
        <w:t xml:space="preserve"> Services</w:t>
      </w:r>
      <w:r w:rsidR="00583232" w:rsidRPr="00403F77">
        <w:rPr>
          <w:rFonts w:cs="Arial"/>
          <w:sz w:val="24"/>
          <w:szCs w:val="24"/>
        </w:rPr>
        <w:t xml:space="preserve"> Partnership</w:t>
      </w:r>
      <w:r w:rsidR="00297A48" w:rsidRPr="00403F77">
        <w:rPr>
          <w:rFonts w:cs="Arial"/>
          <w:sz w:val="24"/>
          <w:szCs w:val="24"/>
        </w:rPr>
        <w:t>, Primary Care Services,</w:t>
      </w:r>
      <w:r w:rsidR="00583232" w:rsidRPr="00403F77">
        <w:rPr>
          <w:rFonts w:cs="Arial"/>
          <w:sz w:val="24"/>
          <w:szCs w:val="24"/>
        </w:rPr>
        <w:t xml:space="preserve"> have worked together</w:t>
      </w:r>
      <w:r w:rsidRPr="00403F77">
        <w:rPr>
          <w:rFonts w:cs="Arial"/>
          <w:sz w:val="24"/>
          <w:szCs w:val="24"/>
        </w:rPr>
        <w:t xml:space="preserve"> to produce the following guidelines to ensure that patients who are entitled </w:t>
      </w:r>
      <w:r w:rsidR="00D4695B" w:rsidRPr="00403F77">
        <w:rPr>
          <w:rFonts w:cs="Arial"/>
          <w:sz w:val="24"/>
          <w:szCs w:val="24"/>
        </w:rPr>
        <w:t xml:space="preserve">to </w:t>
      </w:r>
      <w:r w:rsidRPr="00403F77">
        <w:rPr>
          <w:rFonts w:cs="Arial"/>
          <w:sz w:val="24"/>
          <w:szCs w:val="24"/>
        </w:rPr>
        <w:t xml:space="preserve">a tint supplement are able </w:t>
      </w:r>
      <w:r w:rsidR="00297A48" w:rsidRPr="00403F77">
        <w:rPr>
          <w:rFonts w:cs="Arial"/>
          <w:sz w:val="24"/>
          <w:szCs w:val="24"/>
        </w:rPr>
        <w:t xml:space="preserve">to </w:t>
      </w:r>
      <w:r w:rsidR="00D4695B" w:rsidRPr="00403F77">
        <w:rPr>
          <w:rFonts w:cs="Arial"/>
          <w:sz w:val="24"/>
          <w:szCs w:val="24"/>
        </w:rPr>
        <w:t>access one</w:t>
      </w:r>
      <w:r w:rsidR="00583232" w:rsidRPr="00403F77">
        <w:rPr>
          <w:rFonts w:cs="Arial"/>
          <w:sz w:val="24"/>
          <w:szCs w:val="24"/>
        </w:rPr>
        <w:t>,</w:t>
      </w:r>
      <w:r w:rsidRPr="00403F77">
        <w:rPr>
          <w:rFonts w:cs="Arial"/>
          <w:sz w:val="24"/>
          <w:szCs w:val="24"/>
        </w:rPr>
        <w:t xml:space="preserve"> and to give practices the confidence to prescribe </w:t>
      </w:r>
      <w:r w:rsidR="00583232" w:rsidRPr="00403F77">
        <w:rPr>
          <w:rFonts w:cs="Arial"/>
          <w:sz w:val="24"/>
          <w:szCs w:val="24"/>
        </w:rPr>
        <w:t>tints</w:t>
      </w:r>
      <w:r w:rsidRPr="00403F77">
        <w:rPr>
          <w:rFonts w:cs="Arial"/>
          <w:sz w:val="24"/>
          <w:szCs w:val="24"/>
        </w:rPr>
        <w:t xml:space="preserve"> where clinically </w:t>
      </w:r>
      <w:r w:rsidR="00583232" w:rsidRPr="00403F77">
        <w:rPr>
          <w:rFonts w:cs="Arial"/>
          <w:sz w:val="24"/>
          <w:szCs w:val="24"/>
        </w:rPr>
        <w:t>necessary,</w:t>
      </w:r>
      <w:r w:rsidRPr="00403F77">
        <w:rPr>
          <w:rFonts w:cs="Arial"/>
          <w:sz w:val="24"/>
          <w:szCs w:val="24"/>
        </w:rPr>
        <w:t xml:space="preserve"> secure in the knowledge that they will not be financial</w:t>
      </w:r>
      <w:r w:rsidR="00D946DB">
        <w:rPr>
          <w:rFonts w:cs="Arial"/>
          <w:sz w:val="24"/>
          <w:szCs w:val="24"/>
        </w:rPr>
        <w:t>l</w:t>
      </w:r>
      <w:r w:rsidR="00D4695B" w:rsidRPr="00403F77">
        <w:rPr>
          <w:rFonts w:cs="Arial"/>
          <w:sz w:val="24"/>
          <w:szCs w:val="24"/>
        </w:rPr>
        <w:t>y</w:t>
      </w:r>
      <w:r w:rsidRPr="00403F77">
        <w:rPr>
          <w:rFonts w:cs="Arial"/>
          <w:sz w:val="24"/>
          <w:szCs w:val="24"/>
        </w:rPr>
        <w:t xml:space="preserve"> penalised follo</w:t>
      </w:r>
      <w:r w:rsidR="00986F8C" w:rsidRPr="00403F77">
        <w:rPr>
          <w:rFonts w:cs="Arial"/>
          <w:sz w:val="24"/>
          <w:szCs w:val="24"/>
        </w:rPr>
        <w:t>wing a PPV</w:t>
      </w:r>
      <w:r w:rsidRPr="00403F77">
        <w:rPr>
          <w:rFonts w:cs="Arial"/>
          <w:sz w:val="24"/>
          <w:szCs w:val="24"/>
        </w:rPr>
        <w:t xml:space="preserve"> </w:t>
      </w:r>
      <w:r w:rsidR="00986F8C" w:rsidRPr="00403F77">
        <w:rPr>
          <w:rFonts w:cs="Arial"/>
          <w:sz w:val="24"/>
          <w:szCs w:val="24"/>
        </w:rPr>
        <w:t>visit</w:t>
      </w:r>
      <w:r w:rsidRPr="00403F77">
        <w:rPr>
          <w:rFonts w:cs="Arial"/>
          <w:sz w:val="24"/>
          <w:szCs w:val="24"/>
        </w:rPr>
        <w:t>.</w:t>
      </w:r>
    </w:p>
    <w:p w:rsidR="00986F8C" w:rsidRPr="00403F77" w:rsidRDefault="00986F8C" w:rsidP="00D946DB">
      <w:pPr>
        <w:spacing w:after="0"/>
        <w:jc w:val="both"/>
        <w:rPr>
          <w:rFonts w:cs="Arial"/>
          <w:sz w:val="24"/>
          <w:szCs w:val="24"/>
        </w:rPr>
      </w:pPr>
    </w:p>
    <w:p w:rsidR="00965E7A" w:rsidRPr="00403F77" w:rsidRDefault="00583232" w:rsidP="00D946DB">
      <w:pPr>
        <w:jc w:val="both"/>
        <w:rPr>
          <w:rFonts w:cs="Arial"/>
          <w:b/>
          <w:sz w:val="24"/>
          <w:szCs w:val="24"/>
          <w:u w:val="single"/>
        </w:rPr>
      </w:pPr>
      <w:r w:rsidRPr="00403F77">
        <w:rPr>
          <w:rFonts w:cs="Arial"/>
          <w:b/>
          <w:sz w:val="24"/>
          <w:szCs w:val="24"/>
          <w:u w:val="single"/>
        </w:rPr>
        <w:t>Guidance for Claiming.</w:t>
      </w:r>
    </w:p>
    <w:p w:rsidR="004174C5" w:rsidRPr="00403F77" w:rsidRDefault="00E61AB5" w:rsidP="00D946DB">
      <w:pPr>
        <w:pStyle w:val="ListParagraph"/>
        <w:numPr>
          <w:ilvl w:val="0"/>
          <w:numId w:val="1"/>
        </w:numPr>
        <w:spacing w:after="0"/>
        <w:jc w:val="both"/>
        <w:rPr>
          <w:rFonts w:cs="Arial"/>
          <w:sz w:val="24"/>
          <w:szCs w:val="24"/>
        </w:rPr>
      </w:pPr>
      <w:r w:rsidRPr="00403F77">
        <w:rPr>
          <w:rFonts w:cs="Arial"/>
          <w:sz w:val="24"/>
          <w:szCs w:val="24"/>
        </w:rPr>
        <w:t>The patient must be eligible for the NHS Voucher.</w:t>
      </w:r>
    </w:p>
    <w:p w:rsidR="00986F8C" w:rsidRPr="00403F77" w:rsidRDefault="00986F8C" w:rsidP="00D946DB">
      <w:pPr>
        <w:pStyle w:val="ListParagraph"/>
        <w:jc w:val="both"/>
        <w:rPr>
          <w:rFonts w:cs="Arial"/>
          <w:sz w:val="24"/>
          <w:szCs w:val="24"/>
        </w:rPr>
      </w:pPr>
    </w:p>
    <w:p w:rsidR="00986F8C" w:rsidRPr="00403F77" w:rsidRDefault="00E61AB5" w:rsidP="00D946DB">
      <w:pPr>
        <w:pStyle w:val="ListParagraph"/>
        <w:numPr>
          <w:ilvl w:val="0"/>
          <w:numId w:val="1"/>
        </w:numPr>
        <w:spacing w:after="0"/>
        <w:jc w:val="both"/>
        <w:rPr>
          <w:rFonts w:cs="Arial"/>
          <w:sz w:val="24"/>
          <w:szCs w:val="24"/>
        </w:rPr>
      </w:pPr>
      <w:r w:rsidRPr="00403F77">
        <w:rPr>
          <w:rFonts w:cs="Arial"/>
          <w:sz w:val="24"/>
          <w:szCs w:val="24"/>
        </w:rPr>
        <w:t>The tint must</w:t>
      </w:r>
      <w:r w:rsidR="00986F8C" w:rsidRPr="00403F77">
        <w:rPr>
          <w:rFonts w:cs="Arial"/>
          <w:sz w:val="24"/>
          <w:szCs w:val="24"/>
        </w:rPr>
        <w:t xml:space="preserve"> be deemed clinically necessary.</w:t>
      </w:r>
    </w:p>
    <w:p w:rsidR="00986F8C" w:rsidRPr="00403F77" w:rsidRDefault="00986F8C" w:rsidP="00D946DB">
      <w:pPr>
        <w:spacing w:after="0"/>
        <w:jc w:val="both"/>
        <w:rPr>
          <w:rFonts w:cs="Arial"/>
          <w:sz w:val="24"/>
          <w:szCs w:val="24"/>
        </w:rPr>
      </w:pPr>
    </w:p>
    <w:p w:rsidR="00965E7A" w:rsidRPr="00403F77" w:rsidRDefault="00E61AB5" w:rsidP="00D946DB">
      <w:pPr>
        <w:pStyle w:val="ListParagraph"/>
        <w:numPr>
          <w:ilvl w:val="0"/>
          <w:numId w:val="1"/>
        </w:numPr>
        <w:jc w:val="both"/>
        <w:rPr>
          <w:rFonts w:cs="Arial"/>
          <w:sz w:val="24"/>
          <w:szCs w:val="24"/>
        </w:rPr>
      </w:pPr>
      <w:r w:rsidRPr="00403F77">
        <w:rPr>
          <w:rFonts w:cs="Arial"/>
          <w:sz w:val="24"/>
          <w:szCs w:val="24"/>
        </w:rPr>
        <w:t>There must be evidence of a tint being prescribed</w:t>
      </w:r>
    </w:p>
    <w:p w:rsidR="00965E7A" w:rsidRPr="00403F77" w:rsidRDefault="00E61AB5" w:rsidP="00D946DB">
      <w:pPr>
        <w:pStyle w:val="ListParagraph"/>
        <w:numPr>
          <w:ilvl w:val="1"/>
          <w:numId w:val="1"/>
        </w:numPr>
        <w:jc w:val="both"/>
        <w:rPr>
          <w:rFonts w:cs="Arial"/>
          <w:sz w:val="24"/>
          <w:szCs w:val="24"/>
        </w:rPr>
      </w:pPr>
      <w:r w:rsidRPr="00403F77">
        <w:rPr>
          <w:rFonts w:cs="Arial"/>
          <w:sz w:val="24"/>
          <w:szCs w:val="24"/>
        </w:rPr>
        <w:t>Note of tint on record card</w:t>
      </w:r>
      <w:r w:rsidR="00986F8C" w:rsidRPr="00403F77">
        <w:rPr>
          <w:rFonts w:cs="Arial"/>
          <w:sz w:val="24"/>
          <w:szCs w:val="24"/>
        </w:rPr>
        <w:t>.</w:t>
      </w:r>
    </w:p>
    <w:p w:rsidR="00986F8C" w:rsidRPr="00403F77" w:rsidRDefault="00986F8C" w:rsidP="00D946DB">
      <w:pPr>
        <w:pStyle w:val="ListParagraph"/>
        <w:ind w:left="1440"/>
        <w:jc w:val="both"/>
        <w:rPr>
          <w:rFonts w:cs="Arial"/>
          <w:sz w:val="24"/>
          <w:szCs w:val="24"/>
        </w:rPr>
      </w:pPr>
    </w:p>
    <w:p w:rsidR="00965E7A" w:rsidRPr="00403F77" w:rsidRDefault="00E61AB5" w:rsidP="00D946DB">
      <w:pPr>
        <w:pStyle w:val="ListParagraph"/>
        <w:numPr>
          <w:ilvl w:val="0"/>
          <w:numId w:val="1"/>
        </w:numPr>
        <w:jc w:val="both"/>
        <w:rPr>
          <w:rFonts w:cs="Arial"/>
          <w:sz w:val="24"/>
          <w:szCs w:val="24"/>
        </w:rPr>
      </w:pPr>
      <w:r w:rsidRPr="00403F77">
        <w:rPr>
          <w:rFonts w:cs="Arial"/>
          <w:sz w:val="24"/>
          <w:szCs w:val="24"/>
        </w:rPr>
        <w:t>There must be evidence of a tint being dispensed</w:t>
      </w:r>
    </w:p>
    <w:p w:rsidR="00965E7A" w:rsidRPr="00403F77" w:rsidRDefault="00986F8C" w:rsidP="00D946DB">
      <w:pPr>
        <w:pStyle w:val="ListParagraph"/>
        <w:numPr>
          <w:ilvl w:val="1"/>
          <w:numId w:val="1"/>
        </w:numPr>
        <w:jc w:val="both"/>
        <w:rPr>
          <w:rFonts w:cs="Arial"/>
          <w:sz w:val="24"/>
          <w:szCs w:val="24"/>
        </w:rPr>
      </w:pPr>
      <w:r w:rsidRPr="00403F77">
        <w:rPr>
          <w:rFonts w:cs="Arial"/>
          <w:sz w:val="24"/>
          <w:szCs w:val="24"/>
        </w:rPr>
        <w:t>Order showing a tint.</w:t>
      </w:r>
    </w:p>
    <w:p w:rsidR="00986F8C" w:rsidRPr="00403F77" w:rsidRDefault="00986F8C" w:rsidP="00D946DB">
      <w:pPr>
        <w:pStyle w:val="ListParagraph"/>
        <w:ind w:left="1440"/>
        <w:jc w:val="both"/>
        <w:rPr>
          <w:rFonts w:cs="Arial"/>
          <w:sz w:val="24"/>
          <w:szCs w:val="24"/>
        </w:rPr>
      </w:pPr>
    </w:p>
    <w:p w:rsidR="0057636F" w:rsidRPr="00403F77" w:rsidRDefault="00E61AB5" w:rsidP="00D946DB">
      <w:pPr>
        <w:pStyle w:val="ListParagraph"/>
        <w:numPr>
          <w:ilvl w:val="0"/>
          <w:numId w:val="1"/>
        </w:numPr>
        <w:jc w:val="both"/>
        <w:rPr>
          <w:rFonts w:cs="Arial"/>
          <w:sz w:val="24"/>
          <w:szCs w:val="24"/>
        </w:rPr>
      </w:pPr>
      <w:r w:rsidRPr="00403F77">
        <w:rPr>
          <w:rFonts w:cs="Arial"/>
          <w:sz w:val="24"/>
          <w:szCs w:val="24"/>
        </w:rPr>
        <w:t>At least one lens should have a prescription (ie not plano)</w:t>
      </w:r>
    </w:p>
    <w:p w:rsidR="004174C5" w:rsidRPr="00403F77" w:rsidRDefault="00E61AB5" w:rsidP="00D946DB">
      <w:pPr>
        <w:pStyle w:val="ListParagraph"/>
        <w:numPr>
          <w:ilvl w:val="1"/>
          <w:numId w:val="1"/>
        </w:numPr>
        <w:jc w:val="both"/>
        <w:rPr>
          <w:rFonts w:cs="Arial"/>
          <w:sz w:val="24"/>
          <w:szCs w:val="24"/>
        </w:rPr>
      </w:pPr>
      <w:r w:rsidRPr="00403F77">
        <w:rPr>
          <w:rFonts w:cs="Arial"/>
          <w:sz w:val="24"/>
          <w:szCs w:val="24"/>
        </w:rPr>
        <w:t>Like prisms, tints are a supplement to the voucher and as such cannot be prescribed on plano lenses.</w:t>
      </w:r>
    </w:p>
    <w:p w:rsidR="00986F8C" w:rsidRPr="00403F77" w:rsidRDefault="00986F8C" w:rsidP="00D946DB">
      <w:pPr>
        <w:pStyle w:val="ListParagraph"/>
        <w:ind w:left="1440"/>
        <w:jc w:val="both"/>
        <w:rPr>
          <w:rFonts w:cs="Arial"/>
          <w:sz w:val="24"/>
          <w:szCs w:val="24"/>
        </w:rPr>
      </w:pPr>
    </w:p>
    <w:p w:rsidR="00F27C85" w:rsidRPr="00403F77" w:rsidRDefault="00E61AB5" w:rsidP="00D946DB">
      <w:pPr>
        <w:pStyle w:val="ListParagraph"/>
        <w:numPr>
          <w:ilvl w:val="0"/>
          <w:numId w:val="1"/>
        </w:numPr>
        <w:jc w:val="both"/>
        <w:rPr>
          <w:rFonts w:cs="Arial"/>
          <w:sz w:val="24"/>
          <w:szCs w:val="24"/>
        </w:rPr>
      </w:pPr>
      <w:r w:rsidRPr="00403F77">
        <w:rPr>
          <w:rFonts w:cs="Arial"/>
          <w:sz w:val="24"/>
          <w:szCs w:val="24"/>
        </w:rPr>
        <w:t>Anti-Reflection coatings and UV coatings do not count as a tint for the purposes of claiming a supplement.</w:t>
      </w:r>
    </w:p>
    <w:p w:rsidR="00F27C85" w:rsidRPr="00403F77" w:rsidRDefault="00F27C85" w:rsidP="00D946DB">
      <w:pPr>
        <w:pStyle w:val="ListParagraph"/>
        <w:jc w:val="both"/>
        <w:rPr>
          <w:rFonts w:cs="Arial"/>
          <w:sz w:val="24"/>
          <w:szCs w:val="24"/>
        </w:rPr>
      </w:pPr>
    </w:p>
    <w:p w:rsidR="00F27C85" w:rsidRPr="00403F77" w:rsidRDefault="00F27C85" w:rsidP="00D946DB">
      <w:pPr>
        <w:pStyle w:val="ListParagraph"/>
        <w:numPr>
          <w:ilvl w:val="0"/>
          <w:numId w:val="1"/>
        </w:numPr>
        <w:spacing w:after="0"/>
        <w:jc w:val="both"/>
        <w:rPr>
          <w:rFonts w:cs="Arial"/>
          <w:sz w:val="24"/>
          <w:szCs w:val="24"/>
        </w:rPr>
      </w:pPr>
      <w:r w:rsidRPr="00403F77">
        <w:rPr>
          <w:rFonts w:cs="Arial"/>
          <w:sz w:val="24"/>
          <w:szCs w:val="24"/>
        </w:rPr>
        <w:t>Tints must not be provided based on the patient’s pre</w:t>
      </w:r>
      <w:r w:rsidR="00780CB1" w:rsidRPr="00403F77">
        <w:rPr>
          <w:rFonts w:cs="Arial"/>
          <w:sz w:val="24"/>
          <w:szCs w:val="24"/>
        </w:rPr>
        <w:t>vious prescription reading. H</w:t>
      </w:r>
      <w:r w:rsidRPr="00403F77">
        <w:rPr>
          <w:rFonts w:cs="Arial"/>
          <w:sz w:val="24"/>
          <w:szCs w:val="24"/>
        </w:rPr>
        <w:t>istorical prescription information cannot be relied upon.</w:t>
      </w:r>
    </w:p>
    <w:p w:rsidR="00F27C85" w:rsidRPr="00403F77" w:rsidRDefault="00F27C85" w:rsidP="00D946DB">
      <w:pPr>
        <w:spacing w:after="0"/>
        <w:jc w:val="both"/>
        <w:rPr>
          <w:rFonts w:cs="Arial"/>
          <w:sz w:val="24"/>
          <w:szCs w:val="24"/>
        </w:rPr>
      </w:pPr>
    </w:p>
    <w:p w:rsidR="00965E7A" w:rsidRPr="00403F77" w:rsidRDefault="00E61AB5" w:rsidP="00D946DB">
      <w:pPr>
        <w:pStyle w:val="ListParagraph"/>
        <w:numPr>
          <w:ilvl w:val="0"/>
          <w:numId w:val="1"/>
        </w:numPr>
        <w:spacing w:after="0"/>
        <w:jc w:val="both"/>
        <w:rPr>
          <w:rFonts w:cs="Arial"/>
          <w:sz w:val="24"/>
          <w:szCs w:val="24"/>
        </w:rPr>
      </w:pPr>
      <w:r w:rsidRPr="00403F77">
        <w:rPr>
          <w:rFonts w:cs="Arial"/>
          <w:sz w:val="24"/>
          <w:szCs w:val="24"/>
        </w:rPr>
        <w:t xml:space="preserve">There needs to be a clinical need identified for the tint. This can include symptoms </w:t>
      </w:r>
      <w:r w:rsidRPr="00403F77">
        <w:rPr>
          <w:rFonts w:cs="Arial"/>
          <w:b/>
          <w:i/>
          <w:sz w:val="24"/>
          <w:szCs w:val="24"/>
          <w:u w:val="single"/>
        </w:rPr>
        <w:t>or</w:t>
      </w:r>
      <w:r w:rsidRPr="00403F77">
        <w:rPr>
          <w:rFonts w:cs="Arial"/>
          <w:sz w:val="24"/>
          <w:szCs w:val="24"/>
        </w:rPr>
        <w:t xml:space="preserve"> signs and therefore any of the following would satisfy this requirement:</w:t>
      </w:r>
    </w:p>
    <w:p w:rsidR="00F27C85" w:rsidRPr="00403F77" w:rsidRDefault="00F27C85" w:rsidP="00D946DB">
      <w:pPr>
        <w:spacing w:after="0"/>
        <w:jc w:val="both"/>
        <w:rPr>
          <w:rFonts w:cs="Arial"/>
          <w:sz w:val="24"/>
          <w:szCs w:val="24"/>
        </w:rPr>
      </w:pPr>
    </w:p>
    <w:p w:rsidR="00965E7A" w:rsidRPr="00403F77" w:rsidRDefault="00E61AB5" w:rsidP="00D946DB">
      <w:pPr>
        <w:pStyle w:val="ListParagraph"/>
        <w:numPr>
          <w:ilvl w:val="1"/>
          <w:numId w:val="1"/>
        </w:numPr>
        <w:jc w:val="both"/>
        <w:rPr>
          <w:rFonts w:cs="Arial"/>
          <w:sz w:val="24"/>
          <w:szCs w:val="24"/>
        </w:rPr>
      </w:pPr>
      <w:r w:rsidRPr="00403F77">
        <w:rPr>
          <w:rFonts w:cs="Arial"/>
          <w:sz w:val="24"/>
          <w:szCs w:val="24"/>
        </w:rPr>
        <w:t>Symptoms:</w:t>
      </w:r>
    </w:p>
    <w:p w:rsidR="00965E7A" w:rsidRPr="00403F77" w:rsidRDefault="00E61AB5" w:rsidP="00D946DB">
      <w:pPr>
        <w:pStyle w:val="ListParagraph"/>
        <w:numPr>
          <w:ilvl w:val="2"/>
          <w:numId w:val="1"/>
        </w:numPr>
        <w:jc w:val="both"/>
        <w:rPr>
          <w:rFonts w:cs="Arial"/>
          <w:sz w:val="24"/>
          <w:szCs w:val="24"/>
        </w:rPr>
      </w:pPr>
      <w:r w:rsidRPr="00403F77">
        <w:rPr>
          <w:rFonts w:cs="Arial"/>
          <w:sz w:val="24"/>
          <w:szCs w:val="24"/>
        </w:rPr>
        <w:t>Photophobia</w:t>
      </w:r>
      <w:r w:rsidR="00F27C85" w:rsidRPr="00403F77">
        <w:rPr>
          <w:rFonts w:cs="Arial"/>
          <w:sz w:val="24"/>
          <w:szCs w:val="24"/>
        </w:rPr>
        <w:t>;</w:t>
      </w:r>
    </w:p>
    <w:p w:rsidR="00965E7A" w:rsidRPr="00403F77" w:rsidRDefault="00E61AB5" w:rsidP="00D946DB">
      <w:pPr>
        <w:pStyle w:val="ListParagraph"/>
        <w:numPr>
          <w:ilvl w:val="2"/>
          <w:numId w:val="1"/>
        </w:numPr>
        <w:jc w:val="both"/>
        <w:rPr>
          <w:rFonts w:cs="Arial"/>
          <w:sz w:val="24"/>
          <w:szCs w:val="24"/>
        </w:rPr>
      </w:pPr>
      <w:r w:rsidRPr="00403F77">
        <w:rPr>
          <w:rFonts w:cs="Arial"/>
          <w:sz w:val="24"/>
          <w:szCs w:val="24"/>
        </w:rPr>
        <w:t>Glare</w:t>
      </w:r>
      <w:r w:rsidR="00F27C85" w:rsidRPr="00403F77">
        <w:rPr>
          <w:rFonts w:cs="Arial"/>
          <w:sz w:val="24"/>
          <w:szCs w:val="24"/>
        </w:rPr>
        <w:t>;</w:t>
      </w:r>
    </w:p>
    <w:p w:rsidR="00F27C85" w:rsidRPr="00D946DB" w:rsidRDefault="00E61AB5" w:rsidP="00D946DB">
      <w:pPr>
        <w:pStyle w:val="ListParagraph"/>
        <w:numPr>
          <w:ilvl w:val="2"/>
          <w:numId w:val="1"/>
        </w:numPr>
        <w:jc w:val="both"/>
        <w:rPr>
          <w:rFonts w:cs="Arial"/>
          <w:sz w:val="24"/>
          <w:szCs w:val="24"/>
        </w:rPr>
      </w:pPr>
      <w:r w:rsidRPr="00403F77">
        <w:rPr>
          <w:rFonts w:cs="Arial"/>
          <w:sz w:val="24"/>
          <w:szCs w:val="24"/>
        </w:rPr>
        <w:t>Any other narrative of how light affects the patient adversely or an abnormal response to light</w:t>
      </w:r>
      <w:r w:rsidR="00D946DB">
        <w:rPr>
          <w:rFonts w:cs="Arial"/>
          <w:sz w:val="24"/>
          <w:szCs w:val="24"/>
        </w:rPr>
        <w:t>.</w:t>
      </w:r>
    </w:p>
    <w:p w:rsidR="00F27C85" w:rsidRPr="00403F77" w:rsidRDefault="00F27C85" w:rsidP="00D946DB">
      <w:pPr>
        <w:jc w:val="both"/>
        <w:rPr>
          <w:rFonts w:cs="Arial"/>
          <w:sz w:val="24"/>
          <w:szCs w:val="24"/>
        </w:rPr>
      </w:pPr>
    </w:p>
    <w:p w:rsidR="00965E7A" w:rsidRPr="00403F77" w:rsidRDefault="00E61AB5" w:rsidP="00D946DB">
      <w:pPr>
        <w:pStyle w:val="ListParagraph"/>
        <w:numPr>
          <w:ilvl w:val="1"/>
          <w:numId w:val="1"/>
        </w:numPr>
        <w:jc w:val="both"/>
        <w:rPr>
          <w:rFonts w:cs="Arial"/>
          <w:sz w:val="24"/>
          <w:szCs w:val="24"/>
        </w:rPr>
      </w:pPr>
      <w:r w:rsidRPr="00403F77">
        <w:rPr>
          <w:rFonts w:cs="Arial"/>
          <w:sz w:val="24"/>
          <w:szCs w:val="24"/>
        </w:rPr>
        <w:t>Signs</w:t>
      </w:r>
      <w:r w:rsidR="00F27C85" w:rsidRPr="00403F77">
        <w:rPr>
          <w:rFonts w:cs="Arial"/>
          <w:sz w:val="24"/>
          <w:szCs w:val="24"/>
        </w:rPr>
        <w:t>:</w:t>
      </w:r>
    </w:p>
    <w:p w:rsidR="00965E7A" w:rsidRPr="00403F77" w:rsidRDefault="00E61AB5" w:rsidP="00D946DB">
      <w:pPr>
        <w:pStyle w:val="ListParagraph"/>
        <w:numPr>
          <w:ilvl w:val="2"/>
          <w:numId w:val="1"/>
        </w:numPr>
        <w:jc w:val="both"/>
        <w:rPr>
          <w:rFonts w:cs="Arial"/>
          <w:sz w:val="24"/>
          <w:szCs w:val="24"/>
        </w:rPr>
      </w:pPr>
      <w:r w:rsidRPr="00403F77">
        <w:rPr>
          <w:rFonts w:cs="Arial"/>
          <w:sz w:val="24"/>
          <w:szCs w:val="24"/>
        </w:rPr>
        <w:t>Medications</w:t>
      </w:r>
      <w:r w:rsidR="00F27C85" w:rsidRPr="00403F77">
        <w:rPr>
          <w:rFonts w:cs="Arial"/>
          <w:sz w:val="24"/>
          <w:szCs w:val="24"/>
        </w:rPr>
        <w:t>;</w:t>
      </w:r>
    </w:p>
    <w:p w:rsidR="00965E7A" w:rsidRPr="00403F77" w:rsidRDefault="00E61AB5" w:rsidP="00D946DB">
      <w:pPr>
        <w:pStyle w:val="ListParagraph"/>
        <w:numPr>
          <w:ilvl w:val="2"/>
          <w:numId w:val="1"/>
        </w:numPr>
        <w:jc w:val="both"/>
        <w:rPr>
          <w:rFonts w:cs="Arial"/>
          <w:sz w:val="24"/>
          <w:szCs w:val="24"/>
        </w:rPr>
      </w:pPr>
      <w:r w:rsidRPr="00403F77">
        <w:rPr>
          <w:rFonts w:cs="Arial"/>
          <w:sz w:val="24"/>
          <w:szCs w:val="24"/>
        </w:rPr>
        <w:t>(Drugs such as amphetamines, atropine, idoxuridine, phenylephrine, scopolamine, trifluridine, tropicamide, and vidarabine)</w:t>
      </w:r>
      <w:r w:rsidR="00F27C85" w:rsidRPr="00403F77">
        <w:rPr>
          <w:rFonts w:cs="Arial"/>
          <w:sz w:val="24"/>
          <w:szCs w:val="24"/>
        </w:rPr>
        <w:t>;</w:t>
      </w:r>
    </w:p>
    <w:p w:rsidR="00965E7A" w:rsidRPr="00403F77" w:rsidRDefault="00F27C85" w:rsidP="00D946DB">
      <w:pPr>
        <w:pStyle w:val="ListParagraph"/>
        <w:numPr>
          <w:ilvl w:val="2"/>
          <w:numId w:val="1"/>
        </w:numPr>
        <w:jc w:val="both"/>
        <w:rPr>
          <w:rFonts w:cs="Arial"/>
          <w:sz w:val="24"/>
          <w:szCs w:val="24"/>
        </w:rPr>
      </w:pPr>
      <w:r w:rsidRPr="00403F77">
        <w:rPr>
          <w:rFonts w:cs="Arial"/>
          <w:sz w:val="24"/>
          <w:szCs w:val="24"/>
        </w:rPr>
        <w:t>Aniridia;</w:t>
      </w:r>
    </w:p>
    <w:p w:rsidR="00965E7A" w:rsidRPr="00403F77" w:rsidRDefault="00E61AB5" w:rsidP="00D946DB">
      <w:pPr>
        <w:pStyle w:val="ListParagraph"/>
        <w:numPr>
          <w:ilvl w:val="2"/>
          <w:numId w:val="1"/>
        </w:numPr>
        <w:jc w:val="both"/>
        <w:rPr>
          <w:rFonts w:cs="Arial"/>
          <w:sz w:val="24"/>
          <w:szCs w:val="24"/>
        </w:rPr>
      </w:pPr>
      <w:r w:rsidRPr="00403F77">
        <w:rPr>
          <w:rFonts w:cs="Arial"/>
          <w:sz w:val="24"/>
          <w:szCs w:val="24"/>
        </w:rPr>
        <w:t>Fixed dilated pupil(s)</w:t>
      </w:r>
      <w:r w:rsidR="00F27C85" w:rsidRPr="00403F77">
        <w:rPr>
          <w:rFonts w:cs="Arial"/>
          <w:sz w:val="24"/>
          <w:szCs w:val="24"/>
        </w:rPr>
        <w:t>;</w:t>
      </w:r>
    </w:p>
    <w:p w:rsidR="00965E7A" w:rsidRPr="00403F77" w:rsidRDefault="00E61AB5" w:rsidP="00D946DB">
      <w:pPr>
        <w:pStyle w:val="ListParagraph"/>
        <w:numPr>
          <w:ilvl w:val="2"/>
          <w:numId w:val="1"/>
        </w:numPr>
        <w:jc w:val="both"/>
        <w:rPr>
          <w:rFonts w:cs="Arial"/>
          <w:sz w:val="24"/>
          <w:szCs w:val="24"/>
        </w:rPr>
      </w:pPr>
      <w:r w:rsidRPr="00403F77">
        <w:rPr>
          <w:rFonts w:cs="Arial"/>
          <w:sz w:val="24"/>
          <w:szCs w:val="24"/>
        </w:rPr>
        <w:t>Anisocoria</w:t>
      </w:r>
      <w:r w:rsidR="00F27C85" w:rsidRPr="00403F77">
        <w:rPr>
          <w:rFonts w:cs="Arial"/>
          <w:sz w:val="24"/>
          <w:szCs w:val="24"/>
        </w:rPr>
        <w:t>;</w:t>
      </w:r>
    </w:p>
    <w:p w:rsidR="00965E7A" w:rsidRPr="00403F77" w:rsidRDefault="00E61AB5" w:rsidP="00D946DB">
      <w:pPr>
        <w:pStyle w:val="ListParagraph"/>
        <w:numPr>
          <w:ilvl w:val="2"/>
          <w:numId w:val="1"/>
        </w:numPr>
        <w:jc w:val="both"/>
        <w:rPr>
          <w:rFonts w:cs="Arial"/>
          <w:sz w:val="24"/>
          <w:szCs w:val="24"/>
        </w:rPr>
      </w:pPr>
      <w:r w:rsidRPr="00403F77">
        <w:rPr>
          <w:rFonts w:cs="Arial"/>
          <w:sz w:val="24"/>
          <w:szCs w:val="24"/>
        </w:rPr>
        <w:t>Iridectomy</w:t>
      </w:r>
      <w:r w:rsidR="00F27C85" w:rsidRPr="00403F77">
        <w:rPr>
          <w:rFonts w:cs="Arial"/>
          <w:sz w:val="24"/>
          <w:szCs w:val="24"/>
        </w:rPr>
        <w:t>;</w:t>
      </w:r>
    </w:p>
    <w:p w:rsidR="00965E7A" w:rsidRPr="00403F77" w:rsidRDefault="00E61AB5" w:rsidP="00D946DB">
      <w:pPr>
        <w:pStyle w:val="ListParagraph"/>
        <w:numPr>
          <w:ilvl w:val="2"/>
          <w:numId w:val="1"/>
        </w:numPr>
        <w:jc w:val="both"/>
        <w:rPr>
          <w:rFonts w:cs="Arial"/>
          <w:sz w:val="24"/>
          <w:szCs w:val="24"/>
        </w:rPr>
      </w:pPr>
      <w:r w:rsidRPr="00403F77">
        <w:rPr>
          <w:rFonts w:cs="Arial"/>
          <w:sz w:val="24"/>
          <w:szCs w:val="24"/>
        </w:rPr>
        <w:t>Iris Pigment dispersion</w:t>
      </w:r>
      <w:r w:rsidR="00F27C85" w:rsidRPr="00403F77">
        <w:rPr>
          <w:rFonts w:cs="Arial"/>
          <w:sz w:val="24"/>
          <w:szCs w:val="24"/>
        </w:rPr>
        <w:t>;</w:t>
      </w:r>
    </w:p>
    <w:p w:rsidR="00965E7A" w:rsidRPr="00403F77" w:rsidRDefault="00E61AB5" w:rsidP="00D946DB">
      <w:pPr>
        <w:pStyle w:val="ListParagraph"/>
        <w:numPr>
          <w:ilvl w:val="2"/>
          <w:numId w:val="1"/>
        </w:numPr>
        <w:jc w:val="both"/>
        <w:rPr>
          <w:rFonts w:cs="Arial"/>
          <w:sz w:val="24"/>
          <w:szCs w:val="24"/>
        </w:rPr>
      </w:pPr>
      <w:r w:rsidRPr="00403F77">
        <w:rPr>
          <w:rFonts w:cs="Arial"/>
          <w:sz w:val="24"/>
          <w:szCs w:val="24"/>
        </w:rPr>
        <w:t>Albinism</w:t>
      </w:r>
      <w:r w:rsidR="00F27C85" w:rsidRPr="00403F77">
        <w:rPr>
          <w:rFonts w:cs="Arial"/>
          <w:sz w:val="24"/>
          <w:szCs w:val="24"/>
        </w:rPr>
        <w:t>;</w:t>
      </w:r>
    </w:p>
    <w:p w:rsidR="00965E7A" w:rsidRPr="00403F77" w:rsidRDefault="00E61AB5" w:rsidP="00D946DB">
      <w:pPr>
        <w:pStyle w:val="ListParagraph"/>
        <w:numPr>
          <w:ilvl w:val="2"/>
          <w:numId w:val="1"/>
        </w:numPr>
        <w:jc w:val="both"/>
        <w:rPr>
          <w:rFonts w:cs="Arial"/>
          <w:sz w:val="24"/>
          <w:szCs w:val="24"/>
        </w:rPr>
      </w:pPr>
      <w:r w:rsidRPr="00403F77">
        <w:rPr>
          <w:rFonts w:cs="Arial"/>
          <w:sz w:val="24"/>
          <w:szCs w:val="24"/>
        </w:rPr>
        <w:t>Endothelial damage</w:t>
      </w:r>
      <w:r w:rsidR="00F27C85" w:rsidRPr="00403F77">
        <w:rPr>
          <w:rFonts w:cs="Arial"/>
          <w:sz w:val="24"/>
          <w:szCs w:val="24"/>
        </w:rPr>
        <w:t>;</w:t>
      </w:r>
    </w:p>
    <w:p w:rsidR="00965E7A" w:rsidRPr="00403F77" w:rsidRDefault="00E61AB5" w:rsidP="00D946DB">
      <w:pPr>
        <w:pStyle w:val="ListParagraph"/>
        <w:numPr>
          <w:ilvl w:val="2"/>
          <w:numId w:val="1"/>
        </w:numPr>
        <w:jc w:val="both"/>
        <w:rPr>
          <w:rFonts w:cs="Arial"/>
          <w:sz w:val="24"/>
          <w:szCs w:val="24"/>
        </w:rPr>
      </w:pPr>
      <w:r w:rsidRPr="00403F77">
        <w:rPr>
          <w:rFonts w:cs="Arial"/>
          <w:sz w:val="24"/>
          <w:szCs w:val="24"/>
        </w:rPr>
        <w:t>ARMD impacting acuity and visual recovery time</w:t>
      </w:r>
      <w:r w:rsidR="00F27C85" w:rsidRPr="00403F77">
        <w:rPr>
          <w:rFonts w:cs="Arial"/>
          <w:sz w:val="24"/>
          <w:szCs w:val="24"/>
        </w:rPr>
        <w:t>;</w:t>
      </w:r>
    </w:p>
    <w:p w:rsidR="00965E7A" w:rsidRPr="00403F77" w:rsidRDefault="00E61AB5" w:rsidP="00D946DB">
      <w:pPr>
        <w:pStyle w:val="ListParagraph"/>
        <w:numPr>
          <w:ilvl w:val="2"/>
          <w:numId w:val="1"/>
        </w:numPr>
        <w:jc w:val="both"/>
        <w:rPr>
          <w:rFonts w:cs="Arial"/>
          <w:sz w:val="24"/>
          <w:szCs w:val="24"/>
        </w:rPr>
      </w:pPr>
      <w:r w:rsidRPr="00403F77">
        <w:rPr>
          <w:rFonts w:cs="Arial"/>
          <w:sz w:val="24"/>
          <w:szCs w:val="24"/>
        </w:rPr>
        <w:t>Central Sub-capsular opacities in the lens</w:t>
      </w:r>
      <w:r w:rsidR="00F27C85" w:rsidRPr="00403F77">
        <w:rPr>
          <w:rFonts w:cs="Arial"/>
          <w:sz w:val="24"/>
          <w:szCs w:val="24"/>
        </w:rPr>
        <w:t>;</w:t>
      </w:r>
    </w:p>
    <w:p w:rsidR="00986F8C" w:rsidRPr="00403F77" w:rsidRDefault="00E61AB5" w:rsidP="00D946DB">
      <w:pPr>
        <w:pStyle w:val="ListParagraph"/>
        <w:numPr>
          <w:ilvl w:val="2"/>
          <w:numId w:val="1"/>
        </w:numPr>
        <w:jc w:val="both"/>
        <w:rPr>
          <w:rFonts w:cs="Arial"/>
          <w:sz w:val="24"/>
          <w:szCs w:val="24"/>
        </w:rPr>
      </w:pPr>
      <w:r w:rsidRPr="00403F77">
        <w:rPr>
          <w:rFonts w:cs="Arial"/>
          <w:sz w:val="24"/>
          <w:szCs w:val="24"/>
        </w:rPr>
        <w:t>Xeroderma pigmentosum</w:t>
      </w:r>
      <w:r w:rsidR="00F27C85" w:rsidRPr="00403F77">
        <w:rPr>
          <w:rFonts w:cs="Arial"/>
          <w:sz w:val="24"/>
          <w:szCs w:val="24"/>
        </w:rPr>
        <w:t>.</w:t>
      </w:r>
    </w:p>
    <w:p w:rsidR="00986F8C" w:rsidRPr="00403F77" w:rsidRDefault="00986F8C" w:rsidP="00D946DB">
      <w:pPr>
        <w:pStyle w:val="ListParagraph"/>
        <w:ind w:left="2160"/>
        <w:jc w:val="both"/>
        <w:rPr>
          <w:rFonts w:cs="Arial"/>
          <w:sz w:val="24"/>
          <w:szCs w:val="24"/>
        </w:rPr>
      </w:pPr>
    </w:p>
    <w:p w:rsidR="00986F8C" w:rsidRPr="00403F77" w:rsidRDefault="00E61AB5" w:rsidP="00D946DB">
      <w:pPr>
        <w:pStyle w:val="ListParagraph"/>
        <w:numPr>
          <w:ilvl w:val="0"/>
          <w:numId w:val="1"/>
        </w:numPr>
        <w:jc w:val="both"/>
        <w:rPr>
          <w:rFonts w:cs="Arial"/>
          <w:sz w:val="24"/>
          <w:szCs w:val="24"/>
        </w:rPr>
      </w:pPr>
      <w:r w:rsidRPr="00403F77">
        <w:rPr>
          <w:rFonts w:cs="Arial"/>
          <w:sz w:val="24"/>
          <w:szCs w:val="24"/>
        </w:rPr>
        <w:t xml:space="preserve">The above lists are not exhaustive. </w:t>
      </w:r>
      <w:r w:rsidR="00F27C85" w:rsidRPr="00403F77">
        <w:rPr>
          <w:rFonts w:cs="Arial"/>
          <w:sz w:val="24"/>
          <w:szCs w:val="24"/>
        </w:rPr>
        <w:t>However please note</w:t>
      </w:r>
      <w:r w:rsidR="00986F8C" w:rsidRPr="00403F77">
        <w:rPr>
          <w:rFonts w:cs="Arial"/>
          <w:sz w:val="24"/>
          <w:szCs w:val="24"/>
        </w:rPr>
        <w:t>,</w:t>
      </w:r>
    </w:p>
    <w:p w:rsidR="00986F8C" w:rsidRPr="00403F77" w:rsidRDefault="00583232" w:rsidP="00D946DB">
      <w:pPr>
        <w:pStyle w:val="ListParagraph"/>
        <w:numPr>
          <w:ilvl w:val="1"/>
          <w:numId w:val="1"/>
        </w:numPr>
        <w:jc w:val="both"/>
        <w:rPr>
          <w:rFonts w:cs="Arial"/>
          <w:sz w:val="24"/>
          <w:szCs w:val="24"/>
        </w:rPr>
      </w:pPr>
      <w:r w:rsidRPr="00403F77">
        <w:rPr>
          <w:rFonts w:cs="Arial"/>
          <w:sz w:val="24"/>
          <w:szCs w:val="24"/>
        </w:rPr>
        <w:t>if</w:t>
      </w:r>
      <w:r w:rsidR="00E61AB5" w:rsidRPr="00403F77">
        <w:rPr>
          <w:rFonts w:cs="Arial"/>
          <w:sz w:val="24"/>
          <w:szCs w:val="24"/>
        </w:rPr>
        <w:t xml:space="preserve"> no clinical reason is obvious on the record card,</w:t>
      </w:r>
      <w:r w:rsidRPr="00403F77">
        <w:rPr>
          <w:rFonts w:cs="Arial"/>
          <w:sz w:val="24"/>
          <w:szCs w:val="24"/>
        </w:rPr>
        <w:t xml:space="preserve"> the PPV team will ask</w:t>
      </w:r>
      <w:r w:rsidR="00E61AB5" w:rsidRPr="00403F77">
        <w:rPr>
          <w:rFonts w:cs="Arial"/>
          <w:sz w:val="24"/>
          <w:szCs w:val="24"/>
        </w:rPr>
        <w:t xml:space="preserve"> the optometrist in the practice if they can identify the clinica</w:t>
      </w:r>
      <w:r w:rsidR="00986F8C" w:rsidRPr="00403F77">
        <w:rPr>
          <w:rFonts w:cs="Arial"/>
          <w:sz w:val="24"/>
          <w:szCs w:val="24"/>
        </w:rPr>
        <w:t>l reason for the tint from the</w:t>
      </w:r>
      <w:r w:rsidR="00E61AB5" w:rsidRPr="00403F77">
        <w:rPr>
          <w:rFonts w:cs="Arial"/>
          <w:sz w:val="24"/>
          <w:szCs w:val="24"/>
        </w:rPr>
        <w:t xml:space="preserve"> record</w:t>
      </w:r>
      <w:r w:rsidR="00986F8C" w:rsidRPr="00403F77">
        <w:rPr>
          <w:rFonts w:cs="Arial"/>
          <w:sz w:val="24"/>
          <w:szCs w:val="24"/>
        </w:rPr>
        <w:t xml:space="preserve"> card</w:t>
      </w:r>
      <w:r w:rsidR="00E61AB5" w:rsidRPr="00403F77">
        <w:rPr>
          <w:rFonts w:cs="Arial"/>
          <w:sz w:val="24"/>
          <w:szCs w:val="24"/>
        </w:rPr>
        <w:t>. If they cannot</w:t>
      </w:r>
      <w:r w:rsidRPr="00403F77">
        <w:rPr>
          <w:rFonts w:cs="Arial"/>
          <w:sz w:val="24"/>
          <w:szCs w:val="24"/>
        </w:rPr>
        <w:t xml:space="preserve"> demonstrate that the clinical reason has been evidenced within the patient record card then</w:t>
      </w:r>
      <w:r w:rsidR="00E61AB5" w:rsidRPr="00403F77">
        <w:rPr>
          <w:rFonts w:cs="Arial"/>
          <w:sz w:val="24"/>
          <w:szCs w:val="24"/>
        </w:rPr>
        <w:t xml:space="preserve"> the claim is invalid</w:t>
      </w:r>
      <w:r w:rsidRPr="00403F77">
        <w:rPr>
          <w:rFonts w:cs="Arial"/>
          <w:sz w:val="24"/>
          <w:szCs w:val="24"/>
        </w:rPr>
        <w:t>.</w:t>
      </w:r>
      <w:r w:rsidR="00986F8C" w:rsidRPr="00403F77">
        <w:rPr>
          <w:rFonts w:cs="Arial"/>
          <w:sz w:val="24"/>
          <w:szCs w:val="24"/>
        </w:rPr>
        <w:t xml:space="preserve"> </w:t>
      </w:r>
      <w:r w:rsidR="00EF436A" w:rsidRPr="00403F77">
        <w:rPr>
          <w:rFonts w:cs="Arial"/>
          <w:sz w:val="24"/>
          <w:szCs w:val="24"/>
        </w:rPr>
        <w:t>Notes within the clinical record card stating “tint is clinically necessary” will not be acceptable in order to validate the claim.</w:t>
      </w:r>
    </w:p>
    <w:p w:rsidR="00EF436A" w:rsidRPr="00403F77" w:rsidRDefault="00EF436A" w:rsidP="00D946DB">
      <w:pPr>
        <w:pStyle w:val="ListParagraph"/>
        <w:ind w:left="1440"/>
        <w:jc w:val="both"/>
        <w:rPr>
          <w:rFonts w:cs="Arial"/>
          <w:sz w:val="24"/>
          <w:szCs w:val="24"/>
        </w:rPr>
      </w:pPr>
    </w:p>
    <w:p w:rsidR="00583232" w:rsidRPr="00403F77" w:rsidRDefault="00986F8C" w:rsidP="00D946DB">
      <w:pPr>
        <w:pStyle w:val="ListParagraph"/>
        <w:numPr>
          <w:ilvl w:val="1"/>
          <w:numId w:val="1"/>
        </w:numPr>
        <w:jc w:val="both"/>
        <w:rPr>
          <w:rFonts w:cs="Arial"/>
          <w:sz w:val="24"/>
          <w:szCs w:val="24"/>
        </w:rPr>
      </w:pPr>
      <w:r w:rsidRPr="00403F77">
        <w:rPr>
          <w:rFonts w:cs="Arial"/>
          <w:sz w:val="24"/>
          <w:szCs w:val="24"/>
        </w:rPr>
        <w:t>I</w:t>
      </w:r>
      <w:r w:rsidR="00E61AB5" w:rsidRPr="00403F77">
        <w:rPr>
          <w:rFonts w:cs="Arial"/>
          <w:sz w:val="24"/>
          <w:szCs w:val="24"/>
        </w:rPr>
        <w:t>f the</w:t>
      </w:r>
      <w:r w:rsidR="00583232" w:rsidRPr="00403F77">
        <w:rPr>
          <w:rFonts w:cs="Arial"/>
          <w:sz w:val="24"/>
          <w:szCs w:val="24"/>
        </w:rPr>
        <w:t xml:space="preserve"> contractor</w:t>
      </w:r>
      <w:r w:rsidR="00E61AB5" w:rsidRPr="00403F77">
        <w:rPr>
          <w:rFonts w:cs="Arial"/>
          <w:sz w:val="24"/>
          <w:szCs w:val="24"/>
        </w:rPr>
        <w:t xml:space="preserve"> identif</w:t>
      </w:r>
      <w:r w:rsidR="00583232" w:rsidRPr="00403F77">
        <w:rPr>
          <w:rFonts w:cs="Arial"/>
          <w:sz w:val="24"/>
          <w:szCs w:val="24"/>
        </w:rPr>
        <w:t>ies</w:t>
      </w:r>
      <w:r w:rsidR="00E61AB5" w:rsidRPr="00403F77">
        <w:rPr>
          <w:rFonts w:cs="Arial"/>
          <w:sz w:val="24"/>
          <w:szCs w:val="24"/>
        </w:rPr>
        <w:t xml:space="preserve"> a clinical reason that they are satisfied with</w:t>
      </w:r>
      <w:r w:rsidR="00583232" w:rsidRPr="00403F77">
        <w:rPr>
          <w:rFonts w:cs="Arial"/>
          <w:sz w:val="24"/>
          <w:szCs w:val="24"/>
        </w:rPr>
        <w:t xml:space="preserve"> and this is evidenced on the record card</w:t>
      </w:r>
      <w:r w:rsidR="00E61AB5" w:rsidRPr="00403F77">
        <w:rPr>
          <w:rFonts w:cs="Arial"/>
          <w:sz w:val="24"/>
          <w:szCs w:val="24"/>
        </w:rPr>
        <w:t>, then the claim is valid</w:t>
      </w:r>
      <w:r w:rsidR="00583232" w:rsidRPr="00403F77">
        <w:rPr>
          <w:rFonts w:cs="Arial"/>
          <w:sz w:val="24"/>
          <w:szCs w:val="24"/>
        </w:rPr>
        <w:t>.</w:t>
      </w:r>
    </w:p>
    <w:p w:rsidR="00986F8C" w:rsidRPr="00403F77" w:rsidRDefault="00986F8C" w:rsidP="00D946DB">
      <w:pPr>
        <w:pStyle w:val="ListParagraph"/>
        <w:ind w:left="1440"/>
        <w:jc w:val="both"/>
        <w:rPr>
          <w:rFonts w:cs="Arial"/>
          <w:sz w:val="24"/>
          <w:szCs w:val="24"/>
        </w:rPr>
      </w:pPr>
    </w:p>
    <w:p w:rsidR="00965E7A" w:rsidRPr="00403F77" w:rsidRDefault="00583232" w:rsidP="00D946DB">
      <w:pPr>
        <w:pStyle w:val="ListParagraph"/>
        <w:numPr>
          <w:ilvl w:val="0"/>
          <w:numId w:val="1"/>
        </w:numPr>
        <w:jc w:val="both"/>
        <w:rPr>
          <w:rFonts w:cs="Arial"/>
          <w:sz w:val="24"/>
          <w:szCs w:val="24"/>
        </w:rPr>
      </w:pPr>
      <w:r w:rsidRPr="00403F77">
        <w:rPr>
          <w:rFonts w:cs="Arial"/>
          <w:sz w:val="24"/>
          <w:szCs w:val="24"/>
        </w:rPr>
        <w:t>It is best practice to ensure where possible</w:t>
      </w:r>
      <w:r w:rsidR="00986F8C" w:rsidRPr="00403F77">
        <w:rPr>
          <w:rFonts w:cs="Arial"/>
          <w:sz w:val="24"/>
          <w:szCs w:val="24"/>
        </w:rPr>
        <w:t xml:space="preserve"> that record cards</w:t>
      </w:r>
      <w:r w:rsidRPr="00403F77">
        <w:rPr>
          <w:rFonts w:cs="Arial"/>
          <w:sz w:val="24"/>
          <w:szCs w:val="24"/>
        </w:rPr>
        <w:t xml:space="preserve"> clearly evidence the symptom </w:t>
      </w:r>
      <w:r w:rsidRPr="00403F77">
        <w:rPr>
          <w:rFonts w:cs="Arial"/>
          <w:b/>
          <w:sz w:val="24"/>
          <w:szCs w:val="24"/>
          <w:u w:val="single"/>
        </w:rPr>
        <w:t>and</w:t>
      </w:r>
      <w:r w:rsidRPr="00403F77">
        <w:rPr>
          <w:rFonts w:cs="Arial"/>
          <w:sz w:val="24"/>
          <w:szCs w:val="24"/>
        </w:rPr>
        <w:t xml:space="preserve"> the underlying clinical cause of these symptoms.</w:t>
      </w:r>
    </w:p>
    <w:p w:rsidR="00986F8C" w:rsidRPr="00403F77" w:rsidRDefault="00986F8C" w:rsidP="00D946DB">
      <w:pPr>
        <w:pStyle w:val="ListParagraph"/>
        <w:jc w:val="both"/>
        <w:rPr>
          <w:rFonts w:cs="Arial"/>
          <w:sz w:val="24"/>
          <w:szCs w:val="24"/>
        </w:rPr>
      </w:pPr>
    </w:p>
    <w:p w:rsidR="00583232" w:rsidRPr="00403F77" w:rsidRDefault="00583232" w:rsidP="00D946DB">
      <w:pPr>
        <w:pStyle w:val="ListParagraph"/>
        <w:numPr>
          <w:ilvl w:val="0"/>
          <w:numId w:val="1"/>
        </w:numPr>
        <w:jc w:val="both"/>
        <w:rPr>
          <w:rFonts w:cs="Arial"/>
          <w:sz w:val="24"/>
          <w:szCs w:val="24"/>
        </w:rPr>
      </w:pPr>
      <w:r w:rsidRPr="00403F77">
        <w:rPr>
          <w:rFonts w:cs="Arial"/>
          <w:sz w:val="24"/>
          <w:szCs w:val="24"/>
        </w:rPr>
        <w:t>Provided you as an optometrist c</w:t>
      </w:r>
      <w:r w:rsidR="00986F8C" w:rsidRPr="00403F77">
        <w:rPr>
          <w:rFonts w:cs="Arial"/>
          <w:sz w:val="24"/>
          <w:szCs w:val="24"/>
        </w:rPr>
        <w:t>an identify on your record cards</w:t>
      </w:r>
      <w:r w:rsidRPr="00403F77">
        <w:rPr>
          <w:rFonts w:cs="Arial"/>
          <w:sz w:val="24"/>
          <w:szCs w:val="24"/>
        </w:rPr>
        <w:t xml:space="preserve"> a clinical reason for a tint, the validity of this clinical reason should not be questioned by the PPV team.</w:t>
      </w:r>
    </w:p>
    <w:p w:rsidR="00965E7A" w:rsidRPr="00403F77" w:rsidRDefault="00965E7A" w:rsidP="00D946DB">
      <w:pPr>
        <w:jc w:val="both"/>
        <w:rPr>
          <w:rFonts w:cs="Arial"/>
          <w:sz w:val="24"/>
          <w:szCs w:val="24"/>
        </w:rPr>
      </w:pPr>
    </w:p>
    <w:sectPr w:rsidR="00965E7A" w:rsidRPr="00403F77" w:rsidSect="00A2130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62247C"/>
    <w:multiLevelType w:val="hybridMultilevel"/>
    <w:tmpl w:val="43FA1C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5E7A"/>
    <w:rsid w:val="00297A48"/>
    <w:rsid w:val="002C57A8"/>
    <w:rsid w:val="0035088A"/>
    <w:rsid w:val="003A4E10"/>
    <w:rsid w:val="003F1541"/>
    <w:rsid w:val="00403F77"/>
    <w:rsid w:val="004174C5"/>
    <w:rsid w:val="0057636F"/>
    <w:rsid w:val="00583232"/>
    <w:rsid w:val="0072575A"/>
    <w:rsid w:val="00780CB1"/>
    <w:rsid w:val="008C4EF0"/>
    <w:rsid w:val="00937316"/>
    <w:rsid w:val="00965E7A"/>
    <w:rsid w:val="00986F8C"/>
    <w:rsid w:val="00A21305"/>
    <w:rsid w:val="00B247D0"/>
    <w:rsid w:val="00D4695B"/>
    <w:rsid w:val="00D946DB"/>
    <w:rsid w:val="00E61AB5"/>
    <w:rsid w:val="00EB3046"/>
    <w:rsid w:val="00EF436A"/>
    <w:rsid w:val="00F27C85"/>
    <w:rsid w:val="00FB59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714B67D-3F77-4CDD-B5C5-2596049820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2130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965E7A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65E7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Paragraph">
    <w:name w:val="List Paragraph"/>
    <w:basedOn w:val="Normal"/>
    <w:uiPriority w:val="34"/>
    <w:qFormat/>
    <w:rsid w:val="00965E7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763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7636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223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cid:image001.png@01CE99A1.76E66C80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430</Words>
  <Characters>2457</Characters>
  <Application>Microsoft Office Word</Application>
  <DocSecurity>4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2882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andrew riley</dc:creator>
  <cp:lastModifiedBy>Nathan Williams</cp:lastModifiedBy>
  <cp:revision>2</cp:revision>
  <cp:lastPrinted>2017-07-12T12:30:00Z</cp:lastPrinted>
  <dcterms:created xsi:type="dcterms:W3CDTF">2020-02-21T12:24:00Z</dcterms:created>
  <dcterms:modified xsi:type="dcterms:W3CDTF">2020-02-21T12:24:00Z</dcterms:modified>
</cp:coreProperties>
</file>